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Planned Facilities, Utilities and Environment-Friendly Measures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 xml:space="preserve">Indian Standard (IS) 732 (wiring practice) and IS 3043 (earthing) are NBC-pointed guides for how the installation should behave. They are not extra laws in the disclaimer. Central Electricity Authority electrical-supply regulations are not a numbered FMS chapter reference.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DG</w:t>
            </w:r>
          </w:p>
        </w:tc>
        <w:tc>
          <w:tcPr>
            <w:tcW w:type="pct" w:w="22%"/>
            <w:tcBorders>
              <w:top w:val="single" w:color="999999" w:sz="4"/>
              <w:left w:val="single" w:color="999999" w:sz="4"/>
              <w:bottom w:val="single" w:color="999999" w:sz="4"/>
              <w:right w:val="single" w:color="999999" w:sz="4"/>
            </w:tcBorders>
            <w:shd w:fill="E8E8E8" w:val="clear"/>
          </w:tcPr>
          <w:p>
            <w:r>
              <w:rPr>
                <w:b w:val="0"/>
              </w:rPr>
              <w:t>diesel generator</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w:t>
            </w:r>
          </w:p>
        </w:tc>
      </w:tr>
      <w:tr>
        <w:tc>
          <w:tcPr>
            <w:tcW w:type="pct" w:w="22%"/>
            <w:tcBorders>
              <w:top w:val="single" w:color="999999" w:sz="4"/>
              <w:left w:val="single" w:color="999999" w:sz="4"/>
              <w:bottom w:val="single" w:color="999999" w:sz="4"/>
              <w:right w:val="single" w:color="999999" w:sz="4"/>
            </w:tcBorders>
            <w:shd w:fill="E8E8E8" w:val="clear"/>
          </w:tcPr>
          <w:p>
            <w:r>
              <w:rPr>
                <w:b w:val="0"/>
              </w:rPr>
              <w:t>IPHS</w:t>
            </w:r>
          </w:p>
        </w:tc>
        <w:tc>
          <w:tcPr>
            <w:tcW w:type="pct" w:w="22%"/>
            <w:tcBorders>
              <w:top w:val="single" w:color="999999" w:sz="4"/>
              <w:left w:val="single" w:color="999999" w:sz="4"/>
              <w:bottom w:val="single" w:color="999999" w:sz="4"/>
              <w:right w:val="single" w:color="999999" w:sz="4"/>
            </w:tcBorders>
            <w:shd w:fill="E8E8E8" w:val="clear"/>
          </w:tcPr>
          <w:p>
            <w:r>
              <w:rPr>
                <w:b w:val="0"/>
              </w:rPr>
              <w:t>Indian Public Health Standards</w:t>
            </w:r>
          </w:p>
        </w:tc>
      </w:tr>
      <w:tr>
        <w:tc>
          <w:tcPr>
            <w:tcW w:type="pct" w:w="22%"/>
            <w:tcBorders>
              <w:top w:val="single" w:color="999999" w:sz="4"/>
              <w:left w:val="single" w:color="999999" w:sz="4"/>
              <w:bottom w:val="single" w:color="999999" w:sz="4"/>
              <w:right w:val="single" w:color="999999" w:sz="4"/>
            </w:tcBorders>
            <w:shd w:fill="E8E8E8" w:val="clear"/>
          </w:tcPr>
          <w:p>
            <w:r>
              <w:rPr>
                <w:b w:val="0"/>
              </w:rPr>
              <w:t>GDWQ</w:t>
            </w:r>
          </w:p>
        </w:tc>
        <w:tc>
          <w:tcPr>
            <w:tcW w:type="pct" w:w="22%"/>
            <w:tcBorders>
              <w:top w:val="single" w:color="999999" w:sz="4"/>
              <w:left w:val="single" w:color="999999" w:sz="4"/>
              <w:bottom w:val="single" w:color="999999" w:sz="4"/>
              <w:right w:val="single" w:color="999999" w:sz="4"/>
            </w:tcBorders>
            <w:shd w:fill="E8E8E8" w:val="clear"/>
          </w:tcPr>
          <w:p>
            <w:r>
              <w:rPr>
                <w:b w:val="0"/>
              </w:rPr>
              <w:t>WHO Guidelines for Drinking-water Quality</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RO</w:t>
            </w:r>
          </w:p>
        </w:tc>
        <w:tc>
          <w:tcPr>
            <w:tcW w:type="pct" w:w="22%"/>
            <w:tcBorders>
              <w:top w:val="single" w:color="999999" w:sz="4"/>
              <w:left w:val="single" w:color="999999" w:sz="4"/>
              <w:bottom w:val="single" w:color="999999" w:sz="4"/>
              <w:right w:val="single" w:color="999999" w:sz="4"/>
            </w:tcBorders>
            <w:shd w:fill="E8E8E8" w:val="clear"/>
          </w:tcPr>
          <w:p>
            <w:r>
              <w:rPr>
                <w:b w:val="0"/>
              </w:rPr>
              <w:t>reverse osmosis</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supply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HVAC</w:t>
            </w:r>
          </w:p>
        </w:tc>
        <w:tc>
          <w:tcPr>
            <w:tcW w:type="pct" w:w="22%"/>
            <w:tcBorders>
              <w:top w:val="single" w:color="999999" w:sz="4"/>
              <w:left w:val="single" w:color="999999" w:sz="4"/>
              <w:bottom w:val="single" w:color="999999" w:sz="4"/>
              <w:right w:val="single" w:color="999999" w:sz="4"/>
            </w:tcBorders>
            <w:shd w:fill="E8E8E8" w:val="clear"/>
          </w:tcPr>
          <w:p>
            <w:r>
              <w:rPr>
                <w:b w:val="0"/>
              </w:rPr>
              <w:t>heating, ventilation and air-conditioning</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pStyle w:val="Heading1"/>
        <w:spacing w:after="120" w:before="280"/>
      </w:pPr>
      <w:r>
        <w:t>12. Traceability to NABH SHCO 3rd Edition FMS.1</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