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Human Resource Planning, Recruitment and Staff Governance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spacing w:after="140"/>
      </w:pPr>
      <w:r>
        <w:rPr>
          <w:sz w:val="22"/>
          <w:szCs w:val="22"/>
        </w:rPr>
        <w:t xml:space="preserve">HRM.2 owns training and development. HRM.4 owns performance appraisal. HRM.6 owns personal files. ROM.1 owns appointment of senior leaders by the governing body.</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spacing w:after="140"/>
      </w:pPr>
      <w:r>
        <w:rPr>
          <w:sz w:val="22"/>
          <w:szCs w:val="22"/>
        </w:rPr>
        <w:t xml:space="preserve">It covers HRM.1.a–i. It does not cover induction and ongoing training (HRM.2), safety-programme training delivery (HRM.3), performance appraisal (HRM.4), staff health programmes (HRM.5), personal files (HRM.6) or credentialing of clinical staff (HRM.7–9).</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 xml:space="preserve">The plan identifies gaps, proposed recruitment, redeployment and training needs (cross-reference HRM.2).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 xml:space="preserve">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 (HRM.2.a).</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 xml:space="preserve">«Hospital Name» maintains an adequate number and mix of staff to meet the care, treatment and service needs of the patient. Sanctioned strength is defined per department and shift based on the workforce plan and service scope (AAC.1).</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 xml:space="preserve">Each employee's personnel file (HRM.6 when drafted)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 xml:space="preserve">«Hospital Name» performs a background check of new staff before they begin patient-facing or confidential-access duties. The check covers: identity verification; previous employment confirmation; credential authenticity (cross-reference HRM.7–9 for clinical staff);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 xml:space="preserve">This policy is reviewed «annually», and sooner when HRM.6 or HRM.7–9 are drafted.</w:t>
      </w:r>
    </w:p>
    <w:p>
      <w:pPr>
        <w:pStyle w:val="Heading1"/>
        <w:spacing w:after="120" w:before="280"/>
      </w:pPr>
      <w:r>
        <w:t xml:space="preserve">8. Training and staff acknowledgement</w:t>
      </w:r>
    </w:p>
    <w:p>
      <w:pPr>
        <w:spacing w:after="140"/>
      </w:pPr>
      <w:r>
        <w:rPr>
          <w:sz w:val="22"/>
          <w:szCs w:val="22"/>
        </w:rPr>
        <w:t xml:space="preserve">The HR In-Charge / Personnel Officer, department heads and the Medical Superintendent are briefed on this policy at appointment and «once a year» after that. All staff receive the code of conduct and grievance mechanism at induction (HRM.2.a).</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«HRM/POL/01»  |  Controlled document  |  Policy on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