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Medical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that holds underlying qualification documents. This policy owns the credentialing and privileging process and register for medical professionals. HRM.8 and HRM.9 own parallel processes for nursing and para-clinical professionals respectively. AAC.1.b uses credentialing outcomes when assigning qualified personnel to services; it does not restate this method.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spacing w:after="140"/>
      </w:pPr>
      <w:r>
        <w:rPr>
          <w:sz w:val="22"/>
          <w:szCs w:val="22"/>
        </w:rPr>
        <w:t xml:space="preserve">It covers the four elements HRM.7.a–d. It does not cover nursing credentialing (HRM.8), para-clinical credentialing (HRM.9), personal files (HRM.6), or the service directory (AAC.1).</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SMC</w:t>
            </w:r>
          </w:p>
        </w:tc>
        <w:tc>
          <w:tcPr>
            <w:tcW w:type="pct" w:w="22%"/>
            <w:tcBorders>
              <w:top w:val="single" w:color="999999" w:sz="4"/>
              <w:left w:val="single" w:color="999999" w:sz="4"/>
              <w:bottom w:val="single" w:color="999999" w:sz="4"/>
              <w:right w:val="single" w:color="999999" w:sz="4"/>
            </w:tcBorders>
            <w:shd w:fill="E8E8E8" w:val="clear"/>
          </w:tcPr>
          <w:p>
            <w:r>
              <w:rPr>
                <w:b w:val="0"/>
              </w:rPr>
              <w:t>State Medical Council</w:t>
            </w:r>
          </w:p>
        </w:tc>
      </w:tr>
    </w:tbl>
    <w:p>
      <w:pPr>
        <w:pStyle w:val="Heading1"/>
        <w:spacing w:after="120" w:before="280"/>
      </w:pPr>
      <w:r>
        <w:t>12. Traceability to NABH SHCO 3rd Edition HRM.7</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«HRM/POL/07»  |  Controlled document  |  Policy on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