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Nursing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 xml:space="preserve">Boundaries: HRM.6 owns the staff personal file. This policy owns the nursing credentialing and privileging process and register. HRM.7 owns medical credentialing; HRM.9 owns para-clinical credentialing. COP.4.b uses credentialing outcomes when assigning a nurse to a patient; it does not restate this method.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spacing w:after="140"/>
      </w:pPr>
      <w:r>
        <w:rPr>
          <w:sz w:val="22"/>
          <w:szCs w:val="22"/>
        </w:rPr>
        <w:t xml:space="preserve">It covers the four elements HRM.8.a–d. It does not cover medical credentialing (HRM.7), para-clinical credentialing (HRM.9), personal files (HRM.6), or nurse-to-patient assignment (COP.4.b).</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 xml:space="preserve">Each privilege letter is cross-referenced to the service directory (AAC.1)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GNM</w:t>
            </w:r>
          </w:p>
        </w:tc>
        <w:tc>
          <w:tcPr>
            <w:tcW w:type="pct" w:w="22%"/>
            <w:tcBorders>
              <w:top w:val="single" w:color="999999" w:sz="4"/>
              <w:left w:val="single" w:color="999999" w:sz="4"/>
              <w:bottom w:val="single" w:color="999999" w:sz="4"/>
              <w:right w:val="single" w:color="999999" w:sz="4"/>
            </w:tcBorders>
            <w:shd w:fill="E8E8E8" w:val="clear"/>
          </w:tcPr>
          <w:p>
            <w:r>
              <w:rPr>
                <w:b w:val="0"/>
              </w:rPr>
              <w:t>General Nursing and Midwifery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INC</w:t>
            </w:r>
          </w:p>
        </w:tc>
        <w:tc>
          <w:tcPr>
            <w:tcW w:type="pct" w:w="22%"/>
            <w:tcBorders>
              <w:top w:val="single" w:color="999999" w:sz="4"/>
              <w:left w:val="single" w:color="999999" w:sz="4"/>
              <w:bottom w:val="single" w:color="999999" w:sz="4"/>
              <w:right w:val="single" w:color="999999" w:sz="4"/>
            </w:tcBorders>
            <w:shd w:fill="E8E8E8" w:val="clear"/>
          </w:tcPr>
          <w:p>
            <w:r>
              <w:rPr>
                <w:b w:val="0"/>
              </w:rPr>
              <w:t>Indian Nursing Council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SNC</w:t>
            </w:r>
          </w:p>
        </w:tc>
        <w:tc>
          <w:tcPr>
            <w:tcW w:type="pct" w:w="22%"/>
            <w:tcBorders>
              <w:top w:val="single" w:color="999999" w:sz="4"/>
              <w:left w:val="single" w:color="999999" w:sz="4"/>
              <w:bottom w:val="single" w:color="999999" w:sz="4"/>
              <w:right w:val="single" w:color="999999" w:sz="4"/>
            </w:tcBorders>
            <w:shd w:fill="E8E8E8" w:val="clear"/>
          </w:tcPr>
          <w:p>
            <w:r>
              <w:rPr>
                <w:b w:val="0"/>
              </w:rPr>
              <w:t>State Nursing Council</w:t>
            </w:r>
          </w:p>
        </w:tc>
      </w:tr>
    </w:tbl>
    <w:p>
      <w:pPr>
        <w:pStyle w:val="Heading1"/>
        <w:spacing w:after="120" w:before="280"/>
      </w:pPr>
      <w:r>
        <w:t>12. Traceability to NABH SHCO 3rd Edition HRM.8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HRM.8.</w:t>
      </w:r>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«HRM/POL/08»  |  Controlled document  |  Policy on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