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Multidisciplinary Committee Guides Pharmacy Services and Medication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 xml:space="preserve">It covers MOM.1.a–f: formulary development; committee governance of pharmacy services; acquisition of formulary and non-formulary medications; medication access when the pharmacy is closed; implantable prostheses and medical devices; and clinician adherence to the formulary.</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 xml:space="preserve">5. Implantable prostheses and medical devices are included in the committee's scope per MOM.1.e; detailed guidance is MOM.9.</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 xml:space="preserve">The committee reviews medication-usage data, adverse drug reactions, medication errors and near-miss trends reported under MOM.7,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 xml:space="preserve">«Hospital Name» maintains «a night cupboard / emergency medication stock on each in-patient floor» accessible to the duty nurse. The stock list is defined by the committee and matches MOM.2.e (emergency medications).</w:t>
      </w:r>
    </w:p>
    <w:p>
      <w:pPr>
        <w:spacing w:after="140"/>
      </w:pPr>
      <w:r>
        <w:rPr>
          <w:sz w:val="22"/>
          <w:szCs w:val="22"/>
        </w:rPr>
        <w:t xml:space="preserve">The duty nurse documents every withdrawal against the patient's name and medication order. The Pharmacy In-Charge reconciles withdrawals the next working day. Missing or unreconciled items trigger an incident report under MOM.7.</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 xml:space="preserve">Detailed guidance on procurement, patient and family counselling, and traceability of implants is in MOM.9. This step ensures the committee has oversight; MOM.9 owns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 xml:space="preserve">Implant list maintained under committee oversight (MOM.9 detail).</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Root-cause analysis is required when the same lapse recurs; the organisation's defined recurrence threshold applies, as documented in the hospital's Root Cause Analysis procedure.</w:t>
      </w:r>
    </w:p>
    <w:p>
      <w:pPr>
        <w:spacing w:after="140"/>
      </w:pPr>
      <w:r>
        <w:rPr>
          <w:sz w:val="22"/>
          <w:szCs w:val="22"/>
        </w:rPr>
        <w:t xml:space="preserve">This policy is reviewed «annually», and sooner when MOM.2–MOM.9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MOM.1.</w:t>
      </w:r>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MOM/POL/01  |  Controlled document  |  Policy on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