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Actions are tracked to closure. Root-cause analysis is required when the same prescribing defect recurs; the organisation's defined recurrence threshold applies, as documented in the hospital's Root Cause Analysis procedure.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Root-cause analysis is required when the same prescribing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