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Root-cause analysis is required when the same administration lapse recurs; the organisation's defined recurrence threshold applies, as documented in the hospital's Root Cause Analysis procedure.</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w:t>
            </w:r>
          </w:p>
        </w:tc>
        <w:tc>
          <w:tcPr>
            <w:tcW w:type="pct" w:w="22%"/>
            <w:tcBorders>
              <w:top w:val="single" w:color="999999" w:sz="4"/>
              <w:left w:val="single" w:color="999999" w:sz="4"/>
              <w:bottom w:val="single" w:color="999999" w:sz="4"/>
              <w:right w:val="single" w:color="999999" w:sz="4"/>
            </w:tcBorders>
            <w:shd w:fill="E8E8E8" w:val="clear"/>
          </w:tcPr>
          <w:p>
            <w:r>
              <w:rPr>
                <w:b w:val="0"/>
              </w:rPr>
              <w:t>intramuscular</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SC</w:t>
            </w:r>
          </w:p>
        </w:tc>
        <w:tc>
          <w:tcPr>
            <w:tcW w:type="pct" w:w="22%"/>
            <w:tcBorders>
              <w:top w:val="single" w:color="999999" w:sz="4"/>
              <w:left w:val="single" w:color="999999" w:sz="4"/>
              <w:bottom w:val="single" w:color="999999" w:sz="4"/>
              <w:right w:val="single" w:color="999999" w:sz="4"/>
            </w:tcBorders>
            <w:shd w:fill="E8E8E8" w:val="clear"/>
          </w:tcPr>
          <w:p>
            <w:r>
              <w:rPr>
                <w:b w:val="0"/>
              </w:rPr>
              <w:t>subcutaneous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