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Beliefs, Values and Involvement in Decision-Making</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«Hospital Name»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A list that exists only so PRE.1 can display it, or a care plan written without the patient, misses the point of this policy.</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pStyle w:val="Heading1"/>
        <w:spacing w:after="120" w:before="280"/>
      </w:pPr>
      <w:r>
        <w:t xml:space="preserve">2. Scope</w:t>
      </w:r>
    </w:p>
    <w:p>
      <w:pPr>
        <w:spacing w:after="140"/>
      </w:pPr>
      <w:r>
        <w:rPr>
          <w:sz w:val="22"/>
          <w:szCs w:val="22"/>
        </w:rPr>
        <w:t xml:space="preserve">This policy 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pStyle w:val="Heading1"/>
        <w:spacing w:after="120" w:before="280"/>
      </w:pPr>
      <w:r>
        <w:t xml:space="preserve">3. Policy standards</w:t>
      </w:r>
    </w:p>
    <w:p>
      <w:pPr>
        <w:spacing w:after="140"/>
      </w:pPr>
      <w:r>
        <w:rPr>
          <w:sz w:val="22"/>
          <w:szCs w:val="22"/>
        </w:rPr>
        <w:t xml:space="preserve">«Hospital Name» includes in patient and family rights the elements PRE.2.a–p name, and exercises them in the course of care — not only on a charter in the quality office.</w:t>
      </w:r>
    </w:p>
    <w:p>
      <w:pPr>
        <w:spacing w:after="140"/>
      </w:pPr>
      <w:r>
        <w:rPr>
          <w:sz w:val="22"/>
          <w:szCs w:val="22"/>
        </w:rPr>
        <w:t xml:space="preserve">«Hospital Name» involves the patient and/or family in decision-making, including the care plan and multidisciplinary counselling when appropriate.</w:t>
      </w:r>
    </w:p>
    <w:p>
      <w:pPr>
        <w:spacing w:after="140"/>
      </w:pPr>
      <w:r>
        <w:rPr>
          <w:sz w:val="22"/>
          <w:szCs w:val="22"/>
        </w:rPr>
        <w:t xml:space="preserve">«Hospital Name»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«Hospital Name».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ICU</w:t>
            </w:r>
          </w:p>
        </w:tc>
        <w:tc>
          <w:tcPr>
            <w:tcW w:type="pct" w:w="22%"/>
            <w:tcBorders>
              <w:top w:val="single" w:color="999999" w:sz="4"/>
              <w:left w:val="single" w:color="999999" w:sz="4"/>
              <w:bottom w:val="single" w:color="999999" w:sz="4"/>
              <w:right w:val="single" w:color="999999" w:sz="4"/>
            </w:tcBorders>
            <w:shd w:fill="E8E8E8" w:val="clear"/>
          </w:tcPr>
          <w:p>
            <w:r>
              <w:rPr>
                <w:b w:val="0"/>
              </w:rPr>
              <w:t>intensive care unit</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chapter; not yet drafted)</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PRE</w:t>
            </w:r>
          </w:p>
        </w:tc>
        <w:tc>
          <w:tcPr>
            <w:tcW w:type="pct" w:w="22%"/>
            <w:tcBorders>
              <w:top w:val="single" w:color="999999" w:sz="4"/>
              <w:left w:val="single" w:color="999999" w:sz="4"/>
              <w:bottom w:val="single" w:color="999999" w:sz="4"/>
              <w:right w:val="single" w:color="999999" w:sz="4"/>
            </w:tcBorders>
            <w:shd w:fill="E8E8E8" w:val="clear"/>
          </w:tcPr>
          <w:p>
            <w:r>
              <w:rPr>
                <w:b w:val="0"/>
              </w:rPr>
              <w:t>Patient Rights and Education (NABH SHCO chapter 4)</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WHO</w:t>
            </w:r>
          </w:p>
        </w:tc>
        <w:tc>
          <w:tcPr>
            <w:tcW w:type="pct" w:w="22%"/>
            <w:tcBorders>
              <w:top w:val="single" w:color="999999" w:sz="4"/>
              <w:left w:val="single" w:color="999999" w:sz="4"/>
              <w:bottom w:val="single" w:color="999999" w:sz="4"/>
              <w:right w:val="single" w:color="999999" w:sz="4"/>
            </w:tcBorders>
            <w:shd w:fill="E8E8E8" w:val="clear"/>
          </w:tcPr>
          <w:p>
            <w:r>
              <w:rPr>
                <w:b w:val="0"/>
              </w:rPr>
              <w:t>World Health Organization</w:t>
            </w:r>
          </w:p>
        </w:tc>
      </w:tr>
    </w:tbl>
    <w:p>
      <w:pPr>
        <w:pStyle w:val="Heading1"/>
        <w:spacing w:after="120" w:before="280"/>
      </w:pPr>
      <w:r>
        <w:t>11. Traceability to NABH SHCO 3rd Edition PRE.2</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«Hospital Name»: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«PRE/POL/02»  |  Controlled document  |  Policy on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2026-08-19T07:21:32.826Z</dcterms:created>
  <dcterms:modified xsi:type="dcterms:W3CDTF">2026-08-19T07:21:32.826Z</dcterms:modified>
</cp:coreProperties>
</file>

<file path=docProps/custom.xml><?xml version="1.0" encoding="utf-8"?>
<Properties xmlns="http://schemas.openxmlformats.org/officeDocument/2006/custom-properties" xmlns:vt="http://schemas.openxmlformats.org/officeDocument/2006/docPropsVTypes"/>
</file>