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on Expected Costs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«PRE/POL/05»  |  Controlled document  |  Policy on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