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Transfer-In, Transfer-Out and Referral of Patients</w:t>
      </w:r>
    </w:p>
    <w:p>
      <w:r>
        <w:t>«Hospital Name» — SOP-AAC.2.f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SOP-AAC.2.f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sets out how «Hospital Name» transfers patients in from, and out to, other facilities, and how referrals are made -- including confirming the receiving facility can actually accept the patient, choosing an appropriate transport mode, and what to do if the first receiving facility is unreachable or declines -- so clinical information and responsibility for the patient pass across the handover without a gap.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patient needs a transfer but the first facility contacted doesn't answer. This SOP is what gets the next alternative contacted and the attempt logged immediately -- not the case quietly stalling while everyone assumes someone else is handling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a patient sent elsewhere without first confirming the receiving facility can actually take them risks arriving to find there is no bed and no one expecting them -- and a patient arriving with no accompanying clinical information forces the receiving team to start from zero.</w:t>
            </w:r>
          </w:p>
        </w:tc>
      </w:tr>
    </w:tbl>
    <w:p/>
    <w:p>
      <w:r>
        <w:t>To define how «Hospital Name» transfers patients in, transfers patients out, and makes referrals, so clinical information and responsibility pass across the handover without a gap.</w:t>
      </w:r>
    </w:p>
    <w:p>
      <w:pPr>
        <w:pStyle w:val="Heading1"/>
      </w:pPr>
      <w:r>
        <w:t>2. Scope</w:t>
      </w:r>
    </w:p>
    <w:p>
      <w:r>
        <w:t>so the treating clinician and nursing staff involved in any transfer or referral -- in either direction -- follow the same process.</w:t>
      </w:r>
    </w:p>
    <w:p>
      <w:r>
        <w:t>Applies to the treating clinician, nursing staff, and any patient being transferred or referred to or from «Hospital Name».</w:t>
      </w:r>
    </w:p>
    <w:p>
      <w:pPr>
        <w:pStyle w:val="Heading1"/>
      </w:pPr>
      <w:r>
        <w:t>3. Responsibility</w:t>
      </w:r>
    </w:p>
    <w:p>
      <w:r>
        <w:t>a transfer decided without a named accepting clinician, or a handover without a written summary, is not actually a safe handover.</w:t>
      </w:r>
    </w:p>
    <w:p>
      <w:r>
        <w:rPr>
          <w:b/>
        </w:rPr>
        <w:t xml:space="preserve">Treating Clinician: </w:t>
      </w:r>
      <w:r>
        <w:t>Decides on and documents the clinical justification for a transfer or referral, confirms the receiving facility can accept the patient and names the accepting clinician, and determines the transport mode and whether an accompanying staff member is required.</w:t>
      </w:r>
    </w:p>
    <w:p>
      <w:r>
        <w:rPr>
          <w:b/>
        </w:rPr>
        <w:t xml:space="preserve">Nursing Staff: </w:t>
      </w:r>
      <w:r>
        <w:t>Prepare the transfer summary, monitor the patient until transfer, and accompany an unstable patient where required.</w:t>
      </w:r>
    </w:p>
    <w:p>
      <w:pPr>
        <w:pStyle w:val="Heading1"/>
      </w:pPr>
      <w:r>
        <w:t>4. What to do</w:t>
      </w:r>
    </w:p>
    <w:p>
      <w:pPr>
        <w:pStyle w:val="Heading2"/>
      </w:pPr>
      <w:r>
        <w:t>Transfer-in</w:t>
      </w:r>
    </w:p>
    <w:p>
      <w:r>
        <w:t>A patient arriving from another facility with no accompanying clinical information forces the receiving team to start from zero -- this step is what prevents that.</w:t>
      </w:r>
    </w:p>
    <w:p>
      <w:r>
        <w:t>On transfer-in, the receiving clinician reviews and documents the referring facility's summary, provisional diagnosis, and treatment given so far.</w:t>
      </w:r>
    </w:p>
    <w:p>
      <w:r>
        <w:t>Any information gap is flagged and followed up with the referring facility.</w:t>
      </w:r>
    </w:p>
    <w:p>
      <w:pPr>
        <w:pStyle w:val="Heading2"/>
      </w:pPr>
      <w:r>
        <w:t>Stabilise and confirm before transfer-out or referral</w:t>
      </w:r>
    </w:p>
    <w:p>
      <w:r>
        <w:t>A patient sent elsewhere without first confirming the receiving facility can actually take them, with a named clinician agreeing to accept, risks arriving to find there is no bed and no one expecting them.</w:t>
      </w:r>
    </w:p>
    <w:p>
      <w:r>
        <w:t>Before transfer-out or referral, the patient is stabilised to the extent possible for the planned transport.</w:t>
      </w:r>
    </w:p>
    <w:p>
      <w:r>
        <w:t>The receiving facility's ability to accept the patient is confirmed by phone (or equivalent), with the name and designation of the accepting clinician recorded -- not just that 'the hospital was called'.</w:t>
      </w:r>
    </w:p>
    <w:p>
      <w:r>
        <w:t>The transport mode -- own vehicle, basic ambulance, advanced life-support ambulance -- is decided based on the patient's clinical condition, and an accompanying staff member is assigned for any unstable patient.</w:t>
      </w:r>
    </w:p>
    <w:p>
      <w:pPr>
        <w:pStyle w:val="Heading2"/>
      </w:pPr>
      <w:r>
        <w:t>Hand over with a written summary</w:t>
      </w:r>
    </w:p>
    <w:p>
      <w:r>
        <w:t>A verbal heads-up that doesn't survive the handover is functionally the same as no handover at all -- the written summary is what actually travels with the patient.</w:t>
      </w:r>
    </w:p>
    <w:p>
      <w:r>
        <w:t>A written transfer summary -- diagnosis, treatment given, reason for transfer, vitals at the time of transfer -- accompanies the patient.</w:t>
      </w:r>
    </w:p>
    <w:p>
      <w:r>
        <w:t>The patient or attendant is informed of the reason for transfer or referral.</w:t>
      </w:r>
    </w:p>
    <w:p>
      <w:pPr>
        <w:pStyle w:val="Heading2"/>
      </w:pPr>
      <w:r>
        <w:t>If the receiving facility is unreachable or declines</w:t>
      </w:r>
    </w:p>
    <w:p>
      <w:r>
        <w:t>A single failed call cannot be where this process stops -- the patient still needs somewhere to go, and that has to be tracked, not left to whoever is on shift to remember to try again.</w:t>
      </w:r>
    </w:p>
    <w:p>
      <w:r>
        <w:t>If the first receiving facility cannot be reached, or declines, the next identified alternative is contacted, and every attempt -- facility, time, outcome -- is logged.</w:t>
      </w:r>
    </w:p>
    <w:p>
      <w:r>
        <w:t>If no facility can be confirmed within a clinically reasonable time, the case is escalated to the Medical Superintendent.</w:t>
      </w:r>
    </w:p>
    <w:p>
      <w:pPr>
        <w:pStyle w:val="Heading1"/>
      </w:pPr>
      <w:r>
        <w:t>5. Records</w:t>
      </w:r>
    </w:p>
    <w:p>
      <w:r>
        <w:t>This SOP produces and maintains Records 1-2 (see the AAC.2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Policy on Access, Registration, Admission and Continuity of Care (AAC.2)</w:t>
      </w:r>
    </w:p>
    <w:p>
      <w:pPr>
        <w:pStyle w:val="Heading1"/>
      </w:pPr>
      <w:r>
        <w:t>7. Review</w:t>
      </w:r>
    </w:p>
    <w:p>
      <w:r>
        <w:t>This SOP is reviewed at least annually by the Quality Coordinator together with the Medical Superintendent, and sooner if a transfer summary is found incomplete or a receiving-facility confirmation was skipped.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Transfer-in — AAC.2.f</w:t>
      </w:r>
    </w:p>
    <w:p>
      <w:pPr>
        <w:pStyle w:val="Heading2"/>
      </w:pPr>
      <w:r>
        <w:t>Stabilise and confirm before transfer-out or referral — AAC.2.f</w:t>
      </w:r>
    </w:p>
    <w:p>
      <w:pPr>
        <w:pStyle w:val="Heading2"/>
      </w:pPr>
      <w:r>
        <w:t>Hand over with a written summary — AAC.2.f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World Health Organization. (2007). </w:t>
      </w:r>
      <w:hyperlink r:id="rId9">
        <w:r>
          <w:rPr>
            <w:color w:val="0563C1"/>
            <w:u w:val="single"/>
          </w:rPr>
          <w:t>Patient Safety Solutions, Volume 1, Solution 3: Communication During Patient Hand-Overs</w:t>
        </w:r>
      </w:hyperlink>
      <w:r>
        <w:t xml:space="preserve"> (May 2007). Referenced as an external benchmark for structured handover communication; SHCO accreditation does not itself mandate a specific handover tool such as SBAR.</w:t>
      </w:r>
    </w:p>
    <w:p>
      <w:pPr>
        <w:pStyle w:val="Heading2"/>
      </w:pPr>
      <w:r>
        <w:t>If the receiving facility is unreachable or declines — AAC.2.f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AAC.2.</w:t>
      </w:r>
    </w:p>
    <w:p>
      <w:pPr>
        <w:pStyle w:val="ListParagraph"/>
      </w:pPr>
      <w:r>
        <w:t xml:space="preserve">• </w:t>
      </w:r>
      <w:r>
        <w:t xml:space="preserve">World Health Organization. (2007). </w:t>
      </w:r>
      <w:hyperlink r:id="rId9">
        <w:r>
          <w:rPr>
            <w:color w:val="0563C1"/>
            <w:u w:val="single"/>
          </w:rPr>
          <w:t>Patient Safety Solutions, Volume 1, Solution 3: Communication During Patient Hand-Overs</w:t>
        </w:r>
      </w:hyperlink>
      <w:r>
        <w:t xml:space="preserve"> (May 2007). Referenced as an external benchmark for structured handover communication; SHCO accreditation does not itself mandate a specific handover tool such as SBAR.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slhub.org/learn/improving-patient-safety/design-for-safety/processes/who-communication-during-patient-handovers-may-2007-r1248/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