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Initial Assessment of Patients</w:t>
      </w:r>
    </w:p>
    <w:p>
      <w:r>
        <w:t>«Hospital Name» — SOP-AAC.3.a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SOP-AAC.3.a</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sets out how «Hospital Name» performs and documents the initial assessment of every patient -- out-patient, day-care, in-patient and emergency -- including what happens if a patient's condition changes before documentation is complete, or if a patient refuses assessment, so care from the first encounter onward is based on a recorded clinical picture, not an undocumented impression.</w:t>
            </w:r>
          </w:p>
        </w:tc>
      </w:tr>
    </w:tbl>
    <w:p/>
    <w:tbl>
      <w:tblPr>
        <w:tblStyle w:val="TableGrid"/>
        <w:tblW w:type="auto" w:w="0"/>
        <w:tblLook w:firstColumn="1" w:firstRow="1" w:lastColumn="0" w:lastRow="0" w:noHBand="0" w:noVBand="1" w:val="04A0"/>
      </w:tblPr>
      <w:tblGrid>
        <w:gridCol w:w="8640"/>
      </w:tblGrid>
      <w:tr>
        <w:tc>
          <w:tcPr>
            <w:tcW w:type="dxa" w:w="8640"/>
          </w:tcPr>
          <w:p>
            <w:r>
              <w:t>A patient's condition changes while the clinician is still writing up the initial assessment. This SOP is what requires the assessment to be updated to reflect the patient's current state before it's signed off -- not left as an accurate record of a patient who no longer exists.</w:t>
            </w:r>
          </w:p>
        </w:tc>
      </w:tr>
    </w:tbl>
    <w:p/>
    <w:tbl>
      <w:tblPr>
        <w:tblStyle w:val="TableGrid"/>
        <w:tblW w:type="auto" w:w="0"/>
        <w:tblLook w:firstColumn="1" w:firstRow="1" w:lastColumn="0" w:lastRow="0" w:noHBand="0" w:noVBand="1" w:val="04A0"/>
      </w:tblPr>
      <w:tblGrid>
        <w:gridCol w:w="8640"/>
      </w:tblGrid>
      <w:tr>
        <w:tc>
          <w:tcPr>
            <w:tcW w:type="dxa" w:w="8640"/>
          </w:tcPr>
          <w:p>
            <w:r>
              <w:t>We do this because an initial assessment that exists only in the clinician's memory cannot be handed over, reviewed, or checked -- writing it down, completely and in real time, is what makes it a clinical record the next person can actually rely on.</w:t>
            </w:r>
          </w:p>
        </w:tc>
      </w:tr>
    </w:tbl>
    <w:p/>
    <w:p>
      <w:r>
        <w:t>To define how «Hospital Name» performs and documents the initial assessment of every patient, including a condition change before documentation is complete, and a patient refusal.</w:t>
      </w:r>
    </w:p>
    <w:p>
      <w:pPr>
        <w:pStyle w:val="Heading1"/>
      </w:pPr>
      <w:r>
        <w:t>2. Scope</w:t>
      </w:r>
    </w:p>
    <w:p>
      <w:r>
        <w:t>so every clinician performing a first assessment -- across all patient categories -- follows the same standard.</w:t>
      </w:r>
    </w:p>
    <w:p>
      <w:r>
        <w:t>Applies to every clinician performing a first assessment of a patient, across out-patient, day-care, in-patient and emergency categories.</w:t>
      </w:r>
    </w:p>
    <w:p>
      <w:pPr>
        <w:pStyle w:val="Heading1"/>
      </w:pPr>
      <w:r>
        <w:t>3. Responsibility</w:t>
      </w:r>
    </w:p>
    <w:p>
      <w:r>
        <w:t>an assessment left undocumented, late, or not updated after a condition change is a gap nobody downstream can see.</w:t>
      </w:r>
    </w:p>
    <w:p>
      <w:r>
        <w:rPr>
          <w:b/>
        </w:rPr>
        <w:t xml:space="preserve">Treating Clinician: </w:t>
      </w:r>
      <w:r>
        <w:t>Performs and documents the initial assessment within the defined time frame for the patient's category, updates it if the patient's condition changes before documentation is complete, and manages a refusal appropriately.</w:t>
      </w:r>
    </w:p>
    <w:p>
      <w:r>
        <w:rPr>
          <w:b/>
        </w:rPr>
        <w:t xml:space="preserve">Medical Superintendent: </w:t>
      </w:r>
      <w:r>
        <w:t>Ensures initial-assessment compliance is audited periodically and gaps are corrected.</w:t>
      </w:r>
    </w:p>
    <w:p>
      <w:pPr>
        <w:pStyle w:val="Heading1"/>
      </w:pPr>
      <w:r>
        <w:t>4. What to do</w:t>
      </w:r>
    </w:p>
    <w:p>
      <w:pPr>
        <w:pStyle w:val="Heading2"/>
      </w:pPr>
      <w:r>
        <w:t>Perform the initial assessment</w:t>
      </w:r>
    </w:p>
    <w:p>
      <w:r>
        <w:t>An initial assessment that exists only in the clinician's memory cannot be handed over, reviewed, or checked -- writing it down, with every required element present, is what makes it a clinical record rather than an impression.</w:t>
      </w:r>
    </w:p>
    <w:p>
      <w:r>
        <w:t>The initial assessment covers, at minimum: presenting complaint, relevant history, vital signs, physical examination findings, known allergies, and a provisional diagnosis or working impression.</w:t>
      </w:r>
    </w:p>
    <w:p>
      <w:r>
        <w:t>For emergency patients, initial assessment includes a documented triage category reflecting urgency, recorded concurrently with the clinical picture.</w:t>
      </w:r>
    </w:p>
    <w:p>
      <w:pPr>
        <w:pStyle w:val="Heading2"/>
      </w:pPr>
      <w:r>
        <w:t>Document within the defined time frame</w:t>
      </w:r>
    </w:p>
    <w:p>
      <w:r>
        <w:t>An assessment documented a day after the encounter is reconstructed from memory, not recorded in real time -- the time frame exists so the record reflects what was actually found, not what was later recalled.</w:t>
      </w:r>
    </w:p>
    <w:p>
      <w:r>
        <w:t>Out-patient and day-care assessments are documented at the time of the consultation.</w:t>
      </w:r>
    </w:p>
    <w:p>
      <w:r>
        <w:t>In-patient assessments are documented within the hospital-defined time frame (the hospital states this as a specific number of hours in its own SOP; no external body prescribes it).</w:t>
      </w:r>
    </w:p>
    <w:p>
      <w:r>
        <w:t>Emergency assessments are documented immediately, concurrent with triage.</w:t>
      </w:r>
    </w:p>
    <w:p>
      <w:pPr>
        <w:pStyle w:val="Heading2"/>
      </w:pPr>
      <w:r>
        <w:t>Update the assessment if the patient's condition changes</w:t>
      </w:r>
    </w:p>
    <w:p>
      <w:r>
        <w:t>An assessment that was accurate when started but was overtaken by a deterioration before it was finished is not actually a record of the patient's current state -- leaving it as originally written would be misleading, not just incomplete.</w:t>
      </w:r>
    </w:p>
    <w:p>
      <w:r>
        <w:t>If the patient's clinical condition changes materially before the initial assessment is documented, the clinician records the change and updates the assessment to reflect the patient's current status before signing it off as complete.</w:t>
      </w:r>
    </w:p>
    <w:p>
      <w:pPr>
        <w:pStyle w:val="Heading2"/>
      </w:pPr>
      <w:r>
        <w:t>Manage a patient who refuses assessment</w:t>
      </w:r>
    </w:p>
    <w:p>
      <w:r>
        <w:t>A refusal that is simply left unrecorded looks, from the file, like an assessment that was never attempted -- the record has to show the attempt was made and why it stopped.</w:t>
      </w:r>
    </w:p>
    <w:p>
      <w:r>
        <w:t>If a patient refuses part or all of the initial assessment, the clinician documents what was refused, explains the clinical implications to the patient, and records the refusal.</w:t>
      </w:r>
    </w:p>
    <w:p>
      <w:r>
        <w:t>If the refusal materially compromises patient safety (an emergency patient refusing a necessary examination, for example), the clinician escalates to the Medical Superintendent rather than simply recording the refusal and moving on.</w:t>
      </w:r>
    </w:p>
    <w:p>
      <w:pPr>
        <w:pStyle w:val="Heading1"/>
      </w:pPr>
      <w:r>
        <w:t>5. Records</w:t>
      </w:r>
    </w:p>
    <w:p>
      <w:r>
        <w:t>This SOP produces and maintains Records 1-2 (see the AAC.3 Records folder).</w:t>
      </w:r>
    </w:p>
    <w:p>
      <w:pPr>
        <w:pStyle w:val="Heading1"/>
      </w:pPr>
      <w:r>
        <w:t>6. Related SOPs</w:t>
      </w:r>
    </w:p>
    <w:p>
      <w:pPr>
        <w:pStyle w:val="ListParagraph"/>
      </w:pPr>
      <w:r>
        <w:t>Policy on Assessment of Patients (AAC.3)</w:t>
      </w:r>
    </w:p>
    <w:p>
      <w:pPr>
        <w:pStyle w:val="Heading1"/>
      </w:pPr>
      <w:r>
        <w:t>7. Review</w:t>
      </w:r>
    </w:p>
    <w:p>
      <w:r>
        <w:t>This SOP is reviewed at least annually by the Quality Coordinator together with the Medical Superintendent, and sooner if an audit finds initial assessments missing, late, or not updated after a condition change.</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Perform the initial assessment — AAC.3.a</w:t>
      </w:r>
    </w:p>
    <w:p>
      <w:pPr>
        <w:pStyle w:val="Heading2"/>
      </w:pPr>
      <w:r>
        <w:t>Document within the defined time frame — AAC.3.a</w:t>
      </w:r>
    </w:p>
    <w:p>
      <w:pPr>
        <w:pStyle w:val="Heading2"/>
      </w:pPr>
      <w:r>
        <w:t>Update the assessment if the patient's condition changes — AAC.3.a</w:t>
      </w:r>
    </w:p>
    <w:p>
      <w:pPr>
        <w:pStyle w:val="Heading2"/>
      </w:pPr>
      <w:r>
        <w:t>Manage a patient who refuses assessment — AAC.3.a</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9">
        <w:r>
          <w:rPr>
            <w:color w:val="0563C1"/>
            <w:u w:val="single"/>
          </w:rPr>
          <w:t>NABH SHCO Accreditation Programme page</w:t>
        </w:r>
      </w:hyperlink>
      <w:r>
        <w:t>. Access, Assessment and Care of Patients chapter, standard AAC.3.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