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Laboratory Safety Programme</w:t>
      </w:r>
    </w:p>
    <w:p>
      <w:r>
        <w:t>«Hospital Name» — SOP-AAC.6.a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SOP-AAC.6.a</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implements a laboratory safety programme covering personal protective equipment, biosafety practice, staff immunisation against occupational exposure, and safe handling and disposal of biomedical waste, so laboratory staff and patients are protected from the specific hazards of laboratory work.</w:t>
            </w:r>
          </w:p>
        </w:tc>
      </w:tr>
    </w:tbl>
    <w:p/>
    <w:tbl>
      <w:tblPr>
        <w:tblStyle w:val="TableGrid"/>
        <w:tblW w:type="auto" w:w="0"/>
        <w:tblLook w:firstColumn="1" w:firstRow="1" w:lastColumn="0" w:lastRow="0" w:noHBand="0" w:noVBand="1" w:val="04A0"/>
      </w:tblPr>
      <w:tblGrid>
        <w:gridCol w:w="8640"/>
      </w:tblGrid>
      <w:tr>
        <w:tc>
          <w:tcPr>
            <w:tcW w:type="dxa" w:w="8640"/>
          </w:tcPr>
          <w:p>
            <w:r>
              <w:t>A lab staff member gets a needlestick injury during specimen handling. This SOP is what gets it reported and logged immediately, with post-exposure follow-up documented -- not treated as something to mention informally and move on from.</w:t>
            </w:r>
          </w:p>
        </w:tc>
      </w:tr>
    </w:tbl>
    <w:p/>
    <w:tbl>
      <w:tblPr>
        <w:tblStyle w:val="TableGrid"/>
        <w:tblW w:type="auto" w:w="0"/>
        <w:tblLook w:firstColumn="1" w:firstRow="1" w:lastColumn="0" w:lastRow="0" w:noHBand="0" w:noVBand="1" w:val="04A0"/>
      </w:tblPr>
      <w:tblGrid>
        <w:gridCol w:w="8640"/>
      </w:tblGrid>
      <w:tr>
        <w:tc>
          <w:tcPr>
            <w:tcW w:type="dxa" w:w="8640"/>
          </w:tcPr>
          <w:p>
            <w:r>
              <w:t>We do this because a laboratory where PPE use depends on individual habit, not a written programme, and where staff immunisation against occupational exposure is not tracked, is one lapse away from an avoidable exposure incident -- to a staff member, not just a specimen.</w:t>
            </w:r>
          </w:p>
        </w:tc>
      </w:tr>
    </w:tbl>
    <w:p/>
    <w:p>
      <w:r>
        <w:t>To define how «Hospital Name» implements a laboratory safety programme covering PPE, biosafety practice, staff immunisation, and biomedical waste handling and disposal.</w:t>
      </w:r>
    </w:p>
    <w:p>
      <w:pPr>
        <w:pStyle w:val="Heading1"/>
      </w:pPr>
      <w:r>
        <w:t>2. Scope</w:t>
      </w:r>
    </w:p>
    <w:p>
      <w:r>
        <w:t>so every laboratory staff member -- not just the person in charge -- follows the same safety practice.</w:t>
      </w:r>
    </w:p>
    <w:p>
      <w:r>
        <w:t>Applies to every laboratory staff member and to the Laboratory In-Charge.</w:t>
      </w:r>
    </w:p>
    <w:p>
      <w:pPr>
        <w:pStyle w:val="Heading1"/>
      </w:pPr>
      <w:r>
        <w:t>3. Responsibility</w:t>
      </w:r>
    </w:p>
    <w:p>
      <w:r>
        <w:t>a safety incident nobody reports, or an immunisation gap nobody tracks, leaves staff exposed without anyone knowing.</w:t>
      </w:r>
    </w:p>
    <w:p>
      <w:r>
        <w:rPr>
          <w:b/>
        </w:rPr>
        <w:t xml:space="preserve">Laboratory In-Charge: </w:t>
      </w:r>
      <w:r>
        <w:t>Implements and documents the laboratory safety programme, tracks staff immunisation status, and ensures PPE and biosafety practice are followed.</w:t>
      </w:r>
    </w:p>
    <w:p>
      <w:r>
        <w:rPr>
          <w:b/>
        </w:rPr>
        <w:t xml:space="preserve">Laboratory Staff: </w:t>
      </w:r>
      <w:r>
        <w:t>Follow PPE and biosafety requirements, maintain their immunisation status, and report any safety incident immediately.</w:t>
      </w:r>
    </w:p>
    <w:p>
      <w:pPr>
        <w:pStyle w:val="Heading1"/>
      </w:pPr>
      <w:r>
        <w:t>4. What to do</w:t>
      </w:r>
    </w:p>
    <w:p>
      <w:pPr>
        <w:pStyle w:val="Heading2"/>
      </w:pPr>
      <w:r>
        <w:t>Implement PPE, biosafety practice and staff immunisation</w:t>
      </w:r>
    </w:p>
    <w:p>
      <w:r>
        <w:t>A laboratory where PPE use depends on individual habit, not a written programme, and where staff immunisation against occupational exposure (such as Hepatitis B) is not tracked, is one lapse away from an avoidable exposure incident.</w:t>
      </w:r>
    </w:p>
    <w:p>
      <w:r>
        <w:t>Personal protective equipment -- gloves, coats, eye protection as applicable -- is provided and its use is checked periodically.</w:t>
      </w:r>
    </w:p>
    <w:p>
      <w:r>
        <w:t>Biosafety practice for specimen handling, spill response, and sharps disposal follows written guidance, and a spill kit is checked and restocked on a defined schedule.</w:t>
      </w:r>
    </w:p>
    <w:p>
      <w:r>
        <w:t>Every laboratory staff member's occupational immunisation status (Hepatitis B, for example) is recorded, and staff found non-immune are offered vaccination.</w:t>
      </w:r>
    </w:p>
    <w:p>
      <w:pPr>
        <w:pStyle w:val="Heading2"/>
      </w:pPr>
      <w:r>
        <w:t>Manage biomedical waste</w:t>
      </w:r>
    </w:p>
    <w:p>
      <w:r>
        <w:t>Laboratory waste is biohazardous by nature -- segregating and disposing of it correctly is a statutory obligation, not a housekeeping preference.</w:t>
      </w:r>
    </w:p>
    <w:p>
      <w:r>
        <w:t>Laboratory waste is segregated at source per the categories defined under the Bio-Medical Waste Management Rules, 2016, and disposed of through an authorised route.</w:t>
      </w:r>
    </w:p>
    <w:p>
      <w:r>
        <w:t>Any safety incident -- needlestick, spill, exposure -- is reported immediately and logged, with post-exposure follow-up (source-patient screening, prophylaxis where indicated) documented.</w:t>
      </w:r>
    </w:p>
    <w:p>
      <w:pPr>
        <w:pStyle w:val="Heading1"/>
      </w:pPr>
      <w:r>
        <w:t>5. Records</w:t>
      </w:r>
    </w:p>
    <w:p>
      <w:r>
        <w:t>This SOP produces and maintains Records 1-2 (see the AAC.6 Records folder).</w:t>
      </w:r>
    </w:p>
    <w:p>
      <w:pPr>
        <w:pStyle w:val="Heading1"/>
      </w:pPr>
      <w:r>
        <w:t>6. Related SOPs</w:t>
      </w:r>
    </w:p>
    <w:p>
      <w:pPr>
        <w:pStyle w:val="ListParagraph"/>
      </w:pPr>
      <w:r>
        <w:t>Policy on Laboratory and Diagnostic Services (AAC.6)</w:t>
      </w:r>
    </w:p>
    <w:p>
      <w:pPr>
        <w:pStyle w:val="Heading1"/>
      </w:pPr>
      <w:r>
        <w:t>7. Review</w:t>
      </w:r>
    </w:p>
    <w:p>
      <w:r>
        <w:t>This SOP is reviewed at least annually by the Quality Coordinator together with the Laboratory In-Charge, and sooner after any laboratory safety incident.</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Implement PPE, biosafety practice and staff immunisation — AAC.6.a</w:t>
      </w:r>
    </w:p>
    <w:p>
      <w:r>
        <w:rPr>
          <w:i/>
        </w:rPr>
        <w:t>Verified source(s):</w:t>
      </w:r>
    </w:p>
    <w:p>
      <w:pPr>
        <w:pStyle w:val="ListParagraph"/>
      </w:pPr>
      <w:r>
        <w:t xml:space="preserve">• </w:t>
      </w:r>
      <w:r>
        <w:t xml:space="preserve">Ministry of Environment, Forest and Climate Change, Government of India. (2016). </w:t>
      </w:r>
      <w:hyperlink r:id="rId9">
        <w:r>
          <w:rPr>
            <w:color w:val="0563C1"/>
            <w:u w:val="single"/>
          </w:rPr>
          <w:t>Bio-Medical Waste Management Rules, 2016</w:t>
        </w:r>
      </w:hyperlink>
      <w:r>
        <w:t xml:space="preserve"> (G.S.R. 343(E), 28-Mar-2016). Statutory requirement for segregation, handling and disposal of specimens and biomedical waste, administered by the Central Pollution Control Board.</w:t>
      </w:r>
    </w:p>
    <w:p>
      <w:pPr>
        <w:pStyle w:val="Heading2"/>
      </w:pPr>
      <w:r>
        <w:t>Manage biomedical waste — AAC.6.a</w:t>
      </w:r>
    </w:p>
    <w:p>
      <w:r>
        <w:rPr>
          <w:i/>
        </w:rPr>
        <w:t>Verified source(s):</w:t>
      </w:r>
    </w:p>
    <w:p>
      <w:pPr>
        <w:pStyle w:val="ListParagraph"/>
      </w:pPr>
      <w:r>
        <w:t xml:space="preserve">• </w:t>
      </w:r>
      <w:r>
        <w:t xml:space="preserve">Ministry of Environment, Forest and Climate Change, Government of India. (2016). </w:t>
      </w:r>
      <w:hyperlink r:id="rId9">
        <w:r>
          <w:rPr>
            <w:color w:val="0563C1"/>
            <w:u w:val="single"/>
          </w:rPr>
          <w:t>Bio-Medical Waste Management Rules, 2016</w:t>
        </w:r>
      </w:hyperlink>
      <w:r>
        <w:t xml:space="preserve"> (G.S.R. 343(E), 28-Mar-2016). Statutory requirement for segregation, handling and disposal of specimens and biomedical waste, administered by the Central Pollution Control Board.</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Access, Assessment and Care of Patients chapter, standard AAC.6.</w:t>
      </w:r>
    </w:p>
    <w:p>
      <w:pPr>
        <w:pStyle w:val="ListParagraph"/>
      </w:pPr>
      <w:r>
        <w:t xml:space="preserve">• </w:t>
      </w:r>
      <w:r>
        <w:t xml:space="preserve">Ministry of Environment, Forest and Climate Change, Government of India. (2016). </w:t>
      </w:r>
      <w:hyperlink r:id="rId9">
        <w:r>
          <w:rPr>
            <w:color w:val="0563C1"/>
            <w:u w:val="single"/>
          </w:rPr>
          <w:t>Bio-Medical Waste Management Rules, 2016</w:t>
        </w:r>
      </w:hyperlink>
      <w:r>
        <w:t xml:space="preserve"> (G.S.R. 343(E), 28-Mar-2016). Statutory requirement for segregation, handling and disposal of specimens and biomedical waste, administered by the Central Pollution Control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pcb.nic.in/bio-medical/"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