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Standard Operating Procedure</w:t>
      </w:r>
    </w:p>
    <w:p>
      <w:r>
        <w:t>Continuity and Multidisciplinary Care</w:t>
      </w:r>
    </w:p>
    <w:p>
      <w:r>
        <w:t>«Hospital Name» — SOP-AAC.7.a — Version 1.0</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SOP No.</w:t>
            </w:r>
          </w:p>
        </w:tc>
        <w:tc>
          <w:tcPr>
            <w:tcW w:type="dxa" w:w="2160"/>
          </w:tcPr>
          <w:p>
            <w:r>
              <w:t>SOP-AAC.7.a</w:t>
            </w:r>
          </w:p>
        </w:tc>
        <w:tc>
          <w:tcPr>
            <w:tcW w:type="dxa" w:w="2160"/>
          </w:tcPr>
          <w:p>
            <w:r>
              <w:t>Version</w:t>
            </w:r>
          </w:p>
        </w:tc>
        <w:tc>
          <w:tcPr>
            <w:tcW w:type="dxa" w:w="2160"/>
          </w:tcPr>
          <w:p>
            <w:r>
              <w:t>1.0</w:t>
            </w:r>
          </w:p>
        </w:tc>
      </w:tr>
      <w:tr>
        <w:tc>
          <w:tcPr>
            <w:tcW w:type="dxa" w:w="2160"/>
          </w:tcPr>
          <w:p>
            <w:r>
              <w:t>Effective Date</w:t>
            </w:r>
          </w:p>
        </w:tc>
        <w:tc>
          <w:tcPr>
            <w:tcW w:type="dxa" w:w="2160"/>
          </w:tcPr>
          <w:p>
            <w:r>
              <w:t>«________»</w:t>
            </w:r>
          </w:p>
        </w:tc>
        <w:tc>
          <w:tcPr>
            <w:tcW w:type="dxa" w:w="2160"/>
          </w:tcPr>
          <w:p>
            <w:r>
              <w:t>Review Frequency</w:t>
            </w:r>
          </w:p>
        </w:tc>
        <w:tc>
          <w:tcPr>
            <w:tcW w:type="dxa" w:w="2160"/>
          </w:tcPr>
          <w:p>
            <w:r>
              <w:t>Annual, or on change</w:t>
            </w:r>
          </w:p>
        </w:tc>
      </w:tr>
    </w:tbl>
    <w:p/>
    <w:p>
      <w:pPr>
        <w:pStyle w:val="Heading1"/>
      </w:pPr>
      <w:r>
        <w:t>1. Purpose</w:t>
      </w:r>
    </w:p>
    <w:tbl>
      <w:tblPr>
        <w:tblStyle w:val="TableGrid"/>
        <w:tblW w:type="auto" w:w="0"/>
        <w:tblLook w:firstColumn="1" w:firstRow="1" w:lastColumn="0" w:lastRow="0" w:noHBand="0" w:noVBand="1" w:val="04A0"/>
      </w:tblPr>
      <w:tblGrid>
        <w:gridCol w:w="8640"/>
      </w:tblGrid>
      <w:tr>
        <w:tc>
          <w:tcPr>
            <w:tcW w:type="dxa" w:w="8640"/>
          </w:tcPr>
          <w:p>
            <w:r>
              <w:t>This SOP sets out how «Hospital Name» keeps every patient under the care of an identified responsible clinician at every phase of care, shares information about the patient's care and response to treatment among the treating team, uses standardised handover communication at every shift change and transfer, and moves patients safely between wards, units and departments within the hospital.</w:t>
            </w:r>
          </w:p>
        </w:tc>
      </w:tr>
    </w:tbl>
    <w:p/>
    <w:tbl>
      <w:tblPr>
        <w:tblStyle w:val="TableGrid"/>
        <w:tblW w:type="auto" w:w="0"/>
        <w:tblLook w:firstColumn="1" w:firstRow="1" w:lastColumn="0" w:lastRow="0" w:noHBand="0" w:noVBand="1" w:val="04A0"/>
      </w:tblPr>
      <w:tblGrid>
        <w:gridCol w:w="8640"/>
      </w:tblGrid>
      <w:tr>
        <w:tc>
          <w:tcPr>
            <w:tcW w:type="dxa" w:w="8640"/>
          </w:tcPr>
          <w:p>
            <w:r>
              <w:t>A doctor goes off duty without a covering doctor being named in the file. This SOP is what a nurse catches at the next round and escalates immediately -- rather than a patient quietly having no one actually responsible for them until the gap is noticed by accident.</w:t>
            </w:r>
          </w:p>
        </w:tc>
      </w:tr>
    </w:tbl>
    <w:p/>
    <w:tbl>
      <w:tblPr>
        <w:tblStyle w:val="TableGrid"/>
        <w:tblW w:type="auto" w:w="0"/>
        <w:tblLook w:firstColumn="1" w:firstRow="1" w:lastColumn="0" w:lastRow="0" w:noHBand="0" w:noVBand="1" w:val="04A0"/>
      </w:tblPr>
      <w:tblGrid>
        <w:gridCol w:w="8640"/>
      </w:tblGrid>
      <w:tr>
        <w:tc>
          <w:tcPr>
            <w:tcW w:type="dxa" w:w="8640"/>
          </w:tcPr>
          <w:p>
            <w:r>
              <w:t>We do this because a patient who is never formally handed off from one doctor to another is a patient nobody is actually watching -- gaps in continuity are where delayed diagnoses and missed deterioration happen. An unstructured, rushed handover is exactly where a pending task or an early-warning sign gets silently dropped between one shift and the next.</w:t>
            </w:r>
          </w:p>
        </w:tc>
      </w:tr>
    </w:tbl>
    <w:p/>
    <w:p>
      <w:r>
        <w:t>To define how «Hospital Name» maintains an identified responsible clinician at every phase of care, shares information among the treating team, uses standardised handover communication, and transfers patients safely within the hospital.</w:t>
      </w:r>
    </w:p>
    <w:p>
      <w:pPr>
        <w:pStyle w:val="Heading1"/>
      </w:pPr>
      <w:r>
        <w:t>2. Scope</w:t>
      </w:r>
    </w:p>
    <w:p>
      <w:r>
        <w:t>so doctors, nurses and allied health staff at every phase of care -- not just at admission -- all follow the same continuity process.</w:t>
      </w:r>
    </w:p>
    <w:p>
      <w:r>
        <w:t>Applies to treating doctors, nurses, allied health staff, the Medical Superintendent and the Quality Coordinator, for every phase of care -- out-patient, emergency, in-patient, day-care, internal transfer and discharge.</w:t>
      </w:r>
    </w:p>
    <w:p>
      <w:pPr>
        <w:pStyle w:val="Heading1"/>
      </w:pPr>
      <w:r>
        <w:t>3. Responsibility</w:t>
      </w:r>
    </w:p>
    <w:p>
      <w:r>
        <w:t>a patient with no named responsible clinician, or a handover nobody acknowledged, is a gap that only gets caught by luck.</w:t>
      </w:r>
    </w:p>
    <w:p>
      <w:r>
        <w:rPr>
          <w:b/>
        </w:rPr>
        <w:t xml:space="preserve">Treating Doctor: </w:t>
      </w:r>
      <w:r>
        <w:t>Is the identified responsible clinician during their phase of care, hands over to the covering doctor when off duty, and documents clinical status before any internal transfer.</w:t>
      </w:r>
    </w:p>
    <w:p>
      <w:r>
        <w:rPr>
          <w:b/>
        </w:rPr>
        <w:t xml:space="preserve">Nurse: </w:t>
      </w:r>
      <w:r>
        <w:t>Performs standardised shift handover, accompanies patients during internal transfer, and documents the handover and transfer.</w:t>
      </w:r>
    </w:p>
    <w:p>
      <w:r>
        <w:rPr>
          <w:b/>
        </w:rPr>
        <w:t xml:space="preserve">Medical Superintendent: </w:t>
      </w:r>
      <w:r>
        <w:t>Is accountable that continuity, information-sharing and handover processes are defined and followed.</w:t>
      </w:r>
    </w:p>
    <w:p>
      <w:r>
        <w:rPr>
          <w:b/>
        </w:rPr>
        <w:t xml:space="preserve">Quality Coordinator: </w:t>
      </w:r>
      <w:r>
        <w:t>Audits responsible-clinician documentation, referral completeness and handover/transfer records, and tracks corrective action on recurring gaps.</w:t>
      </w:r>
    </w:p>
    <w:p>
      <w:pPr>
        <w:pStyle w:val="Heading1"/>
      </w:pPr>
      <w:r>
        <w:t>4. What to do</w:t>
      </w:r>
    </w:p>
    <w:p>
      <w:pPr>
        <w:pStyle w:val="Heading2"/>
      </w:pPr>
      <w:r>
        <w:t>Identify the responsible individual at every phase of care</w:t>
      </w:r>
    </w:p>
    <w:p>
      <w:r>
        <w:t>A patient who is never formally handed off from one doctor to another is a patient nobody is actually watching -- gaps in continuity are where delayed diagnoses and missed deterioration happen.</w:t>
      </w:r>
    </w:p>
    <w:p>
      <w:r>
        <w:t>At the start of every phase of care -- registration, emergency triage, admission, transfer, day-care -- record in the patient file the name, contact number and expected availability of the doctor responsible for that phase.</w:t>
      </w:r>
    </w:p>
    <w:p>
      <w:r>
        <w:t>When the treating doctor goes off duty, identify the covering doctor by name and record the handover of responsibility in the patient file before the treating doctor leaves.</w:t>
      </w:r>
    </w:p>
    <w:p>
      <w:r>
        <w:t>At every nursing round, confirm that the patient file shows a current, named responsible clinician; escalate to the Medical Superintendent immediately if it does not.</w:t>
      </w:r>
    </w:p>
    <w:p>
      <w:pPr>
        <w:pStyle w:val="Heading2"/>
      </w:pPr>
      <w:r>
        <w:t>Share information among care-providers, including referrals</w:t>
      </w:r>
    </w:p>
    <w:p>
      <w:r>
        <w:t>Medical, nursing and allied-health notes written in isolation, with referrals that never get a documented answer, mean each discipline is treating its own partial picture of the patient rather than one coordinated plan.</w:t>
      </w:r>
    </w:p>
    <w:p>
      <w:r>
        <w:t>Write all nursing notes, doctor's progress notes and allied-health entries in the shared patient file (or linked system) so every authorised member of the treating team can read them.</w:t>
      </w:r>
    </w:p>
    <w:p>
      <w:r>
        <w:t>When referring a patient to another department, the referring doctor states the clinical question, relevant history and urgency in the file; the referred department records its opinion in the same file within the agreed turnaround time.</w:t>
      </w:r>
    </w:p>
    <w:p>
      <w:r>
        <w:t>Document every verbal order immediately in the patient file and have the ordering doctor countersign it within the hospital-defined countersignature window (a specific number of hours the hospital states in its own SOP; no external body prescribes it), flagging any order not countersigned within that window to the Quality Coordinator.</w:t>
      </w:r>
    </w:p>
    <w:p>
      <w:r>
        <w:t>Where multidisciplinary input is needed, discuss the patient at the scheduled team meeting or ward round and record the outcome in the file.</w:t>
      </w:r>
    </w:p>
    <w:p>
      <w:pPr>
        <w:pStyle w:val="Heading2"/>
      </w:pPr>
      <w:r>
        <w:t>Carry out standardised handover communication</w:t>
      </w:r>
    </w:p>
    <w:p>
      <w:r>
        <w:t>An unstructured, rushed handover is where a pending task, an abnormal result or an early-warning trigger gets silently dropped between one shift and the next.</w:t>
      </w:r>
    </w:p>
    <w:p>
      <w:r>
        <w:t>Use the hospital's chosen standardised handover tool (for example SBAR -- Situation, Background, Assessment, Recommendation) at every shift change and at every transfer between units or departments.</w:t>
      </w:r>
    </w:p>
    <w:p>
      <w:r>
        <w:t>Cover, for each patient: identification, current diagnosis and condition, key events since the last handover, pending tasks and follow-up required, and any safety concern or early-warning-score trigger.</w:t>
      </w:r>
    </w:p>
    <w:p>
      <w:r>
        <w:t>Document the handover in the handover register, patient file or electronic system, and have the receiving team acknowledge receipt before the outgoing team leaves.</w:t>
      </w:r>
    </w:p>
    <w:p>
      <w:r>
        <w:t>Minimise interruptions during handover; if interrupted, confirm at the end that every patient on the list was actually covered.</w:t>
      </w:r>
    </w:p>
    <w:p>
      <w:pPr>
        <w:pStyle w:val="Heading2"/>
      </w:pPr>
      <w:r>
        <w:t>Transfer patients safely within the hospital</w:t>
      </w:r>
    </w:p>
    <w:p>
      <w:r>
        <w:t>A transfer with no documented clinical status, no confirmed receiving unit and no accompanying staff member turns a routine ward move into an unmonitored gap in care.</w:t>
      </w:r>
    </w:p>
    <w:p>
      <w:r>
        <w:t>Before transferring a patient between wards, units or departments, document the reason for transfer and assess and document the patient's clinical status immediately before the move.</w:t>
      </w:r>
    </w:p>
    <w:p>
      <w:r>
        <w:t>Inform the receiving unit and obtain its confirmation of readiness before the patient leaves.</w:t>
      </w:r>
    </w:p>
    <w:p>
      <w:r>
        <w:t>Send the patient accompanied by a nurse or trained attendant with monitoring and equipment appropriate to the patient's condition; send critical or unstable patients accompanied by a doctor.</w:t>
      </w:r>
    </w:p>
    <w:p>
      <w:r>
        <w:t>Continue medications, infusions and oxygen during transfer, complete the standardised handover between the transferring and receiving teams, and record the time of departure and arrival in the patient file.</w:t>
      </w:r>
    </w:p>
    <w:p>
      <w:pPr>
        <w:pStyle w:val="Heading1"/>
      </w:pPr>
      <w:r>
        <w:t>5. Records</w:t>
      </w:r>
    </w:p>
    <w:p>
      <w:r>
        <w:t>This SOP produces and maintains Records 1-4 (see the AAC.7 Records folder).</w:t>
      </w:r>
    </w:p>
    <w:p>
      <w:pPr>
        <w:pStyle w:val="Heading1"/>
      </w:pPr>
      <w:r>
        <w:t>6. Related SOPs</w:t>
      </w:r>
    </w:p>
    <w:p>
      <w:pPr>
        <w:pStyle w:val="ListParagraph"/>
      </w:pPr>
      <w:r>
        <w:t>Policy on Continuity and Multidisciplinary Care (AAC.7)</w:t>
      </w:r>
    </w:p>
    <w:p>
      <w:pPr>
        <w:pStyle w:val="Heading1"/>
      </w:pPr>
      <w:r>
        <w:t>7. Review</w:t>
      </w:r>
    </w:p>
    <w:p>
      <w:r>
        <w:t>This SOP is reviewed at least annually by the Quality Coordinator together with the Medical Superintendent, and sooner when staffing patterns, ward layout or the handover tool change.</w:t>
      </w:r>
    </w:p>
    <w:p>
      <w:r>
        <w:br w:type="page"/>
      </w:r>
    </w:p>
    <w:p>
      <w:pPr>
        <w:pStyle w:val="Heading1"/>
      </w:pPr>
      <w:r>
        <w:t>Appendix — NABH Standard Cross-Reference and Evidence Basis</w:t>
      </w:r>
    </w:p>
    <w:p>
      <w:r>
        <w:t>For the Quality Coordinator and NABH assessment use only. The reasoning and real-world triggers for each requirement are already in the body above -- this appendix adds only what the body deliberately leaves out: the exact objective-element code, how this SOP's scope is kept separate from neighbouring standards, and the verified technical source for anything cited.</w:t>
      </w:r>
    </w:p>
    <w:p>
      <w:pPr>
        <w:pStyle w:val="Heading2"/>
      </w:pPr>
      <w:r>
        <w:t>Identify the responsible individual at every phase of care — AAC.7.a</w:t>
      </w:r>
    </w:p>
    <w:p>
      <w:pPr>
        <w:pStyle w:val="Heading2"/>
      </w:pPr>
      <w:r>
        <w:t>Share information among care-providers, including referrals — AAC.7.b</w:t>
      </w:r>
    </w:p>
    <w:p>
      <w:pPr>
        <w:pStyle w:val="Heading2"/>
      </w:pPr>
      <w:r>
        <w:t>Carry out standardised handover communication — AAC.7.c</w:t>
      </w:r>
    </w:p>
    <w:p>
      <w:r>
        <w:rPr>
          <w:i/>
        </w:rPr>
        <w:t>Verified source(s):</w:t>
      </w:r>
    </w:p>
    <w:p>
      <w:pPr>
        <w:pStyle w:val="ListParagraph"/>
      </w:pPr>
      <w:r>
        <w:t xml:space="preserve">• </w:t>
      </w:r>
      <w:r>
        <w:t xml:space="preserve">World Health Organization. (2007). </w:t>
      </w:r>
      <w:hyperlink r:id="rId9">
        <w:r>
          <w:rPr>
            <w:color w:val="0563C1"/>
            <w:u w:val="single"/>
          </w:rPr>
          <w:t>Patient Safety Solutions, Volume 1, Solution 3: Communication During Patient Hand-Overs</w:t>
        </w:r>
      </w:hyperlink>
      <w:r>
        <w:t xml:space="preserve"> (May 2007). Referenced as an external benchmark for structured handover communication; SHCO accreditation does not itself mandate a specific handover tool such as SBAR.</w:t>
      </w:r>
    </w:p>
    <w:p>
      <w:pPr>
        <w:pStyle w:val="Heading2"/>
      </w:pPr>
      <w:r>
        <w:t>Transfer patients safely within the hospital — AAC.7.d</w:t>
      </w:r>
    </w:p>
    <w:p>
      <w:r>
        <w:rPr>
          <w:i/>
        </w:rPr>
        <w:t>Verified source(s):</w:t>
      </w:r>
    </w:p>
    <w:p>
      <w:pPr>
        <w:pStyle w:val="ListParagraph"/>
      </w:pPr>
      <w:r>
        <w:t xml:space="preserve">• </w:t>
      </w:r>
      <w:r>
        <w:t xml:space="preserve">World Health Organization. (2007). </w:t>
      </w:r>
      <w:hyperlink r:id="rId9">
        <w:r>
          <w:rPr>
            <w:color w:val="0563C1"/>
            <w:u w:val="single"/>
          </w:rPr>
          <w:t>Patient Safety Solutions, Volume 1, Solution 3: Communication During Patient Hand-Overs</w:t>
        </w:r>
      </w:hyperlink>
      <w:r>
        <w:t xml:space="preserve"> (May 2007). Referenced as an external benchmark for structured handover communication; SHCO accreditation does not itself mandate a specific handover tool such as SBAR.</w:t>
      </w:r>
    </w:p>
    <w:p>
      <w:pPr>
        <w:pStyle w:val="Heading2"/>
      </w:pPr>
      <w:r>
        <w:t>Full reference list</w:t>
      </w:r>
    </w:p>
    <w:p>
      <w:pPr>
        <w:pStyle w:val="ListParagraph"/>
      </w:pPr>
      <w:r>
        <w:t xml:space="preserve">• </w:t>
      </w:r>
      <w:r>
        <w:t xml:space="preserve">National Accreditation Board for Hospitals and Healthcare Providers. (2022). Standards for Small Healthcare Organisations (3rd ed.). </w:t>
      </w:r>
      <w:hyperlink r:id="rId10">
        <w:r>
          <w:rPr>
            <w:color w:val="0563C1"/>
            <w:u w:val="single"/>
          </w:rPr>
          <w:t>NABH SHCO Accreditation Programme page</w:t>
        </w:r>
      </w:hyperlink>
      <w:r>
        <w:t>. Access, Assessment and Care of Patients chapter, standard AAC.7.</w:t>
      </w:r>
    </w:p>
    <w:p>
      <w:pPr>
        <w:pStyle w:val="ListParagraph"/>
      </w:pPr>
      <w:r>
        <w:t xml:space="preserve">• </w:t>
      </w:r>
      <w:r>
        <w:t xml:space="preserve">World Health Organization. (2007). </w:t>
      </w:r>
      <w:hyperlink r:id="rId9">
        <w:r>
          <w:rPr>
            <w:color w:val="0563C1"/>
            <w:u w:val="single"/>
          </w:rPr>
          <w:t>Patient Safety Solutions, Volume 1, Solution 3: Communication During Patient Hand-Overs</w:t>
        </w:r>
      </w:hyperlink>
      <w:r>
        <w:t xml:space="preserve"> (May 2007). Referenced as an external benchmark for structured handover communication; SHCO accreditation does not itself mandate a specific handover tool such as SBAR.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pslhub.org/learn/improving-patient-safety/design-for-safety/processes/who-communication-during-patient-handovers-may-2007-r1248/" TargetMode="External"/><Relationship Id="rId10" Type="http://schemas.openxmlformats.org/officeDocument/2006/relationships/hyperlink" Target="https://nabh.co/programmes/small-healthcare-organisation-shco-accreditation-program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