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Discharge Process and Discharge Summary</w:t>
      </w:r>
    </w:p>
    <w:p>
      <w:r>
        <w:t>«Hospital Name» — SOP-AAC.8.a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SOP-AAC.8.a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gives a discharge summary to every patient leaving the organisation, including patients leaving against medical advice (LAMA); what identification, clinical content, follow-up and urgent-care instructions the summary must contain; how a death summary is prepared when a patient dies; and how planned discharge and special needs are identified before the patient leaves.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patient insists on leaving against medical advice. This SOP is what still gets them a discharge summary -- what was advised, the risks explained, that they left against advice -- before they walk out, instead of leaving with nothing written down at all.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patient who leaves without a written summary -- especially one who leaves against medical advice -- takes an undocumented, unexplained set of risks out the door with them, and a patient discharged with medicines but no explanation of warning signs or who to call is a readmission waiting to happen.</w:t>
            </w:r>
          </w:p>
        </w:tc>
      </w:tr>
    </w:tbl>
    <w:p/>
    <w:p>
      <w:r>
        <w:t>To define how «Hospital Name» issues a discharge summary to every patient including LAMA, its required content, death summary preparation, and discharge planning and special-needs identification.</w:t>
      </w:r>
    </w:p>
    <w:p>
      <w:pPr>
        <w:pStyle w:val="Heading1"/>
      </w:pPr>
      <w:r>
        <w:t>2. Scope</w:t>
      </w:r>
    </w:p>
    <w:p>
      <w:r>
        <w:t>so every patient discharged, transferred out, or who dies in the organisation leaves with the same documented process behind them.</w:t>
      </w:r>
    </w:p>
    <w:p>
      <w:r>
        <w:t>Applies to treating doctors, nurses, registration/front-office staff, the Medical Superintendent and the Quality Coordinator, for every patient discharged, transferred out, or who dies in the organisation.</w:t>
      </w:r>
    </w:p>
    <w:p>
      <w:pPr>
        <w:pStyle w:val="Heading1"/>
      </w:pPr>
      <w:r>
        <w:t>3. Responsibility</w:t>
      </w:r>
    </w:p>
    <w:p>
      <w:r>
        <w:t>a discharge summary nobody checked for completeness, or a death summary that doesn't match the civil-registration record, creates problems long after the patient has left.</w:t>
      </w:r>
    </w:p>
    <w:p>
      <w:r>
        <w:rPr>
          <w:b/>
        </w:rPr>
        <w:t xml:space="preserve">Treating Doctor: </w:t>
      </w:r>
      <w:r>
        <w:t>Prepares or supervises preparation of the discharge summary, writes the death summary where applicable, discusses expected discharge date and special needs with the patient and family.</w:t>
      </w:r>
    </w:p>
    <w:p>
      <w:r>
        <w:rPr>
          <w:b/>
        </w:rPr>
        <w:t xml:space="preserve">Nurse: </w:t>
      </w:r>
      <w:r>
        <w:t>Assists with discharge planning, explains instructions, confirms patient/family understanding, and identifies special needs.</w:t>
      </w:r>
    </w:p>
    <w:p>
      <w:r>
        <w:rPr>
          <w:b/>
        </w:rPr>
        <w:t xml:space="preserve">Registration/Front-Office Staff: </w:t>
      </w:r>
      <w:r>
        <w:t>Verify identification and dates on the discharge summary and coordinate the administrative discharge process.</w:t>
      </w:r>
    </w:p>
    <w:p>
      <w:r>
        <w:rPr>
          <w:b/>
        </w:rPr>
        <w:t xml:space="preserve">Quality Coordinator: </w:t>
      </w:r>
      <w:r>
        <w:t>Audits discharge-summary completeness and issuance rate, and tracks corrective action on recurring gaps.</w:t>
      </w:r>
    </w:p>
    <w:p>
      <w:pPr>
        <w:pStyle w:val="Heading1"/>
      </w:pPr>
      <w:r>
        <w:t>4. What to do</w:t>
      </w:r>
    </w:p>
    <w:p>
      <w:pPr>
        <w:pStyle w:val="Heading2"/>
      </w:pPr>
      <w:r>
        <w:t>Issue a discharge summary to every patient, including LAMA</w:t>
      </w:r>
    </w:p>
    <w:p>
      <w:r>
        <w:t>A patient who leaves without a written summary -- especially one who leaves against medical advice -- takes an undocumented, unexplained set of risks out the door with them.</w:t>
      </w:r>
    </w:p>
    <w:p>
      <w:r>
        <w:t>Prepare a discharge summary for every patient leaving «Hospital Name», with no exception for patients leaving against medical advice (LAMA).</w:t>
      </w:r>
    </w:p>
    <w:p>
      <w:r>
        <w:t>For a LAMA patient, record in the summary what was advised, the risks of leaving explained to the patient, and that the patient left against medical advice; the separate informed-consent/LAMA acknowledgement itself is handled under the informed-consent policy -- this step covers the summary content only.</w:t>
      </w:r>
    </w:p>
    <w:p>
      <w:r>
        <w:t>Give the discharge summary to the patient or the patient's representative before or at the time of leaving.</w:t>
      </w:r>
    </w:p>
    <w:p>
      <w:pPr>
        <w:pStyle w:val="Heading2"/>
      </w:pPr>
      <w:r>
        <w:t>Complete identification, dates and clinical content</w:t>
      </w:r>
    </w:p>
    <w:p>
      <w:r>
        <w:t>A discharge summary missing a date of admission, a diagnosis, or the results of a key investigation is not a summary the next treating doctor can actually rely on.</w:t>
      </w:r>
    </w:p>
    <w:p>
      <w:r>
        <w:t>Enter the patient's name, unique identification number, date of admission and date of discharge on every discharge summary; have the registration/front-office team verify these four fields before release.</w:t>
      </w:r>
    </w:p>
    <w:p>
      <w:r>
        <w:t>Enter the reasons for admission, significant findings, provisional and/or final diagnosis, the patient's condition at discharge, investigation results, any procedure performed, medication administered and other treatment given.</w:t>
      </w:r>
    </w:p>
    <w:p>
      <w:r>
        <w:t>Write the clinical content in language the patient or family can understand, using plain-language explanation alongside any medical terminology.</w:t>
      </w:r>
    </w:p>
    <w:p>
      <w:pPr>
        <w:pStyle w:val="Heading2"/>
      </w:pPr>
      <w:r>
        <w:t>Give follow-up, medication and urgent-care instructions</w:t>
      </w:r>
    </w:p>
    <w:p>
      <w:r>
        <w:t>A patient discharged with medicines but no explanation of warning signs or who to call is a readmission waiting to happen.</w:t>
      </w:r>
    </w:p>
    <w:p>
      <w:r>
        <w:t>Include in the discharge summary the follow-up date or timeframe, medications prescribed at discharge with dose, frequency, route and duration, diet/activity/wound-care instructions where applicable, warning signs that should prompt an earlier visit, and a contact number for queries.</w:t>
      </w:r>
    </w:p>
    <w:p>
      <w:r>
        <w:t>Include instructions on when and how to obtain urgent care: symptoms requiring immediate return, how to reach «Hospital Name»'s emergency department, and an alternative emergency contact if «Hospital Name» is unreachable.</w:t>
      </w:r>
    </w:p>
    <w:p>
      <w:r>
        <w:t>Explain all of the above verbally to the patient and/or family in the language they understand -- «Hindi and English» -- and document that this was done.</w:t>
      </w:r>
    </w:p>
    <w:p>
      <w:pPr>
        <w:pStyle w:val="Heading2"/>
      </w:pPr>
      <w:r>
        <w:t>Prepare the death summary when a patient dies</w:t>
      </w:r>
    </w:p>
    <w:p>
      <w:r>
        <w:t>The cause of death recorded in a hospital's own summary and the cause certified for civil registration must be the same fact, recorded consistently, not two different accounts of how the patient died.</w:t>
      </w:r>
    </w:p>
    <w:p>
      <w:r>
        <w:t>When a patient dies, prepare a death summary containing all the fields of the discharge summary (identification, dates, clinical content) plus the cause of death as determined by the treating doctor, time of death, whether a post-mortem was advised and the family's decision, and any medico-legal reporting done.</w:t>
      </w:r>
    </w:p>
    <w:p>
      <w:r>
        <w:t>Certify the cause of death following the format and cause-of-death classification set out in the national Medical Certification of Cause of Death (MCCD) scheme, so the hospital's own record and the civil-registration certificate state the same cause.</w:t>
      </w:r>
    </w:p>
    <w:p>
      <w:r>
        <w:t>Give the death summary to the next of kin and retain a copy in the patient file.</w:t>
      </w:r>
    </w:p>
    <w:p>
      <w:pPr>
        <w:pStyle w:val="Heading2"/>
      </w:pPr>
      <w:r>
        <w:t>Plan discharge in advance and identify special needs</w:t>
      </w:r>
    </w:p>
    <w:p>
      <w:r>
        <w:t>Special needs discovered for the first time on the day of discharge -- a wheelchair not arranged, a family not trained in wound care -- turn a planned departure into a last-minute scramble that risks readmission.</w:t>
      </w:r>
    </w:p>
    <w:p>
      <w:r>
        <w:t>Discuss the expected date of discharge with the patient and family early in the stay, and update it as the clinical situation changes.</w:t>
      </w:r>
    </w:p>
    <w:p>
      <w:r>
        <w:t>Before discharge, identify special needs affecting care after discharge -- wound care, physiotherapy, mobility aids, home nursing, dietary needs, oxygen, follow-up investigations, referral to another facility.</w:t>
      </w:r>
    </w:p>
    <w:p>
      <w:r>
        <w:t>Where a special need is identified, include in the discharge plan how it will be met -- written instructions, referral letter, equipment arranged, or family trained.</w:t>
      </w:r>
    </w:p>
    <w:p>
      <w:r>
        <w:t>Before the patient leaves, confirm that the patient and family understand the discharge plan and the special-needs arrangements.</w:t>
      </w:r>
    </w:p>
    <w:p>
      <w:pPr>
        <w:pStyle w:val="Heading1"/>
      </w:pPr>
      <w:r>
        <w:t>5. Records</w:t>
      </w:r>
    </w:p>
    <w:p>
      <w:r>
        <w:t>This SOP produces and maintains Records 1-5 (see the AAC.8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Discharge Process and Discharge Summary (AAC.8)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Medical Superintendent, and sooner when the discharge process, summary template or clinical protocols change.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Issue a discharge summary to every patient, including LAMA — AAC.8.a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National Medical Commission (formerly Medical Council of India). (2002, amended 2016). </w:t>
      </w:r>
      <w:hyperlink r:id="rId9">
        <w:r>
          <w:rPr>
            <w:color w:val="0563C1"/>
            <w:u w:val="single"/>
          </w:rPr>
          <w:t>Indian Medical Council (Professional Conduct, Etiquette and Ethics) Regulations, 2002</w:t>
        </w:r>
      </w:hyperlink>
      <w:r>
        <w:t>, Appendix 3 (format of medical records). Statutory basis in India for the minimum content of a patient's medical record, including the discharge card/summary.</w:t>
      </w:r>
    </w:p>
    <w:p>
      <w:pPr>
        <w:pStyle w:val="Heading2"/>
      </w:pPr>
      <w:r>
        <w:t>Complete identification, dates and clinical content — AAC.8.b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National Medical Commission (formerly Medical Council of India). (2002, amended 2016). </w:t>
      </w:r>
      <w:hyperlink r:id="rId9">
        <w:r>
          <w:rPr>
            <w:color w:val="0563C1"/>
            <w:u w:val="single"/>
          </w:rPr>
          <w:t>Indian Medical Council (Professional Conduct, Etiquette and Ethics) Regulations, 2002</w:t>
        </w:r>
      </w:hyperlink>
      <w:r>
        <w:t>, Appendix 3 (format of medical records). Statutory basis in India for the minimum content of a patient's medical record, including the discharge card/summary.</w:t>
      </w:r>
    </w:p>
    <w:p>
      <w:pPr>
        <w:pStyle w:val="Heading2"/>
      </w:pPr>
      <w:r>
        <w:t>Give follow-up, medication and urgent-care instructions — AAC.8.c</w:t>
      </w:r>
    </w:p>
    <w:p>
      <w:pPr>
        <w:pStyle w:val="Heading2"/>
      </w:pPr>
      <w:r>
        <w:t>Prepare the death summary when a patient dies — AAC.8.d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Office of the Registrar General, India, Ministry of Home Affairs, Government of India. (2012). </w:t>
      </w:r>
      <w:hyperlink r:id="rId10">
        <w:r>
          <w:rPr>
            <w:color w:val="0563C1"/>
            <w:u w:val="single"/>
          </w:rPr>
          <w:t>Physicians' Manual on Medical Certification of Cause of Death (MCCD), 5th ed.</w:t>
        </w:r>
      </w:hyperlink>
      <w:r>
        <w:t xml:space="preserve"> Issued under the Registration of Births and Deaths Act, 1969, Sections 10(2)-10(3); governs how the treating doctor certifies and records the cause of death.</w:t>
      </w:r>
    </w:p>
    <w:p>
      <w:pPr>
        <w:pStyle w:val="Heading2"/>
      </w:pPr>
      <w:r>
        <w:t>Plan discharge in advance and identify special needs — AAC.8.e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1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AAC.8.</w:t>
      </w:r>
    </w:p>
    <w:p>
      <w:pPr>
        <w:pStyle w:val="ListParagraph"/>
      </w:pPr>
      <w:r>
        <w:t xml:space="preserve">• </w:t>
      </w:r>
      <w:r>
        <w:t xml:space="preserve">National Medical Commission (formerly Medical Council of India). (2002, amended 2016). </w:t>
      </w:r>
      <w:hyperlink r:id="rId9">
        <w:r>
          <w:rPr>
            <w:color w:val="0563C1"/>
            <w:u w:val="single"/>
          </w:rPr>
          <w:t>Indian Medical Council (Professional Conduct, Etiquette and Ethics) Regulations, 2002</w:t>
        </w:r>
      </w:hyperlink>
      <w:r>
        <w:t>, Appendix 3 (format of medical records). Statutory basis in India for the minimum content of a patient's medical record, including the discharge card/summary.</w:t>
      </w:r>
    </w:p>
    <w:p>
      <w:pPr>
        <w:pStyle w:val="ListParagraph"/>
      </w:pPr>
      <w:r>
        <w:t xml:space="preserve">• </w:t>
      </w:r>
      <w:r>
        <w:t xml:space="preserve">Office of the Registrar General, India, Ministry of Home Affairs, Government of India. (2012). </w:t>
      </w:r>
      <w:hyperlink r:id="rId10">
        <w:r>
          <w:rPr>
            <w:color w:val="0563C1"/>
            <w:u w:val="single"/>
          </w:rPr>
          <w:t>Physicians' Manual on Medical Certification of Cause of Death (MCCD), 5th ed.</w:t>
        </w:r>
      </w:hyperlink>
      <w:r>
        <w:t xml:space="preserve"> Issued under the Registration of Births and Deaths Act, 1969, Sections 10(2)-10(3); governs how the treating doctor certifies and records the cause of death.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mc.org.in/rules-regulations/code-of-medical-ethics-regulations-2002/1000/" TargetMode="External"/><Relationship Id="rId10" Type="http://schemas.openxmlformats.org/officeDocument/2006/relationships/hyperlink" Target="https://censusindia.gov.in/nada/index.php/catalog/40073/download/43743/Physician_Manual_MCCD.pdf" TargetMode="External"/><Relationship Id="rId11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