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HRM.9.c — Para-clinical professionals are granted privileges in consonance with their qualification, training, experience and registration.</w:t>
      </w:r>
    </w:p>
    <w:p>
      <w:r>
        <w:t>HRM.9 Record 03 — Para-clinical privilege letters and Credentialing Committee minutes</w:t>
      </w:r>
    </w:p>
    <w:p/>
    <w:p/>
    <w:p/>
    <w:p>
      <w:r>
        <w:t>How to fill this in — column by column</w:t>
      </w:r>
    </w:p>
    <w:p>
      <w:pPr>
        <w:pStyle w:val="ListParagraph"/>
      </w:pPr>
      <w:r>
        <w:t>Name / Profession: Who the privilege letter covers, and which profession.</w:t>
      </w:r>
    </w:p>
    <w:p>
      <w:pPr>
        <w:pStyle w:val="ListParagraph"/>
      </w:pPr>
      <w:r>
        <w:t>Committee Decision Date: When the Credentialing Committee reviewed this.</w:t>
      </w:r>
    </w:p>
    <w:p>
      <w:pPr>
        <w:pStyle w:val="ListParagraph"/>
      </w:pPr>
      <w:r>
        <w:t>Privileges Granted / Validity Period: What was granted and the expiry (max 2 years).</w:t>
      </w:r>
    </w:p>
    <w:p>
      <w:pPr>
        <w:pStyle w:val="ListParagraph"/>
      </w:pPr>
      <w:r>
        <w:t>Restrictions (If Any): Any limits on scope.</w:t>
      </w:r>
    </w:p>
    <w:p>
      <w:pPr>
        <w:pStyle w:val="ListParagraph"/>
      </w:pPr>
      <w:r>
        <w:t>Suspended For Lapsed Registration (Y/N, Date): Whether this professional was ever suspended pending renewal.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HRM.9.</w:t>
      </w:r>
    </w:p>
    <w:p>
      <w:pPr>
        <w:pStyle w:val="ListParagraph"/>
      </w:pPr>
      <w:r>
        <w:t xml:space="preserve">Department of Atomic Energy, Government of India. (2004). </w:t>
      </w:r>
      <w:hyperlink r:id="rId10">
        <w:r>
          <w:rPr>
            <w:color w:val="0563C1"/>
            <w:u w:val="single"/>
          </w:rPr>
          <w:t>The Atomic Energy (Radiation Protection) Rules, 2004 (G.S.R. 303)</w:t>
        </w:r>
      </w:hyperlink>
      <w:r>
        <w:t>. Rule 3(2) requires radiation-generating equipment to be operated only under a licence's terms; Rule 12(2) requires the licensee to ensure only individuals named in the licence handle the source; Rule 7(2)(e)(ii) conditions the licence on workers having appropriate radiation-safety training. Referenced as the statutory basis for naming and training-verifying a radiographer before granting equipment-operation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written privilege letter and the Credentialing Committee decision behind it — the proof para-clinical privileges were actually matched to verified credentials by a committee, not assumed from the job title.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Credentialing Committee issues this at every grant or renewal. The worked example shows a lab technician's privileges deliberately scoped short of microbiology reporting pending further training.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privilege granted beyond what verified credentials support is the exact failure this standard exists to prevent — for a radiographer, operating beyond an AERB-authorised modality is also a direct breach of the licence conditions in Rule 3(2) of the Atomic Energy (Radiation Protection) Rules, not only an internal policy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Name / Profession</w:t>
            </w:r>
          </w:p>
        </w:tc>
        <w:tc>
          <w:tcPr>
            <w:tcW w:type="dxa" w:w="1728"/>
          </w:tcPr>
          <w:p>
            <w:r>
              <w:t>Committee Decision Date</w:t>
            </w:r>
          </w:p>
        </w:tc>
        <w:tc>
          <w:tcPr>
            <w:tcW w:type="dxa" w:w="1728"/>
          </w:tcPr>
          <w:p>
            <w:r>
              <w:t>Privileges Granted / Validity Period</w:t>
            </w:r>
          </w:p>
        </w:tc>
        <w:tc>
          <w:tcPr>
            <w:tcW w:type="dxa" w:w="1728"/>
          </w:tcPr>
          <w:p>
            <w:r>
              <w:t>Restrictions (If Any)</w:t>
            </w:r>
          </w:p>
        </w:tc>
        <w:tc>
          <w:tcPr>
            <w:tcW w:type="dxa" w:w="1728"/>
          </w:tcPr>
          <w:p>
            <w:r>
              <w:t>Suspended For Lapsed Registration (Y/N, 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Nidhi Trivedi, Laboratory Technician</w:t>
            </w:r>
          </w:p>
        </w:tc>
        <w:tc>
          <w:tcPr>
            <w:tcW w:type="dxa" w:w="1728"/>
            <w:shd w:val="clear" w:color="auto" w:fill="FFF2CC"/>
          </w:tcPr>
          <w:p>
            <w:r>
              <w:t>25-Jan-2026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Independent running and reporting of haematology and biochemistry panels; valid to 24-Jan-2028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microbiology culture reporting pending additional training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