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Needs of Stakeholders — Capture and Analysis of Data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The register is reviewed «annually» and when a new service, a new statutory return or a significant change in patient mix is introduced. Obsolete information is withdrawn so that staff, patients and visitors are not confused by out-of-date notices.</w:t>
      </w:r>
    </w:p>
    <w:p>
      <w:pPr>
        <w:spacing w:after="140"/>
      </w:pPr>
      <w:r>
        <w:rPr>
          <w:sz w:val="22"/>
          <w:szCs w:val="22"/>
        </w:rPr>
        <w:t>This element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Storage media, whether paper or electronic, are labelled and indexed so that a named record can be found without searching the whole store.</w:t>
      </w:r>
    </w:p>
    <w:p>
      <w:pPr>
        <w:spacing w:after="140"/>
      </w:pPr>
      <w:r>
        <w:rPr>
          <w:sz w:val="22"/>
          <w:szCs w:val="22"/>
        </w:rPr>
        <w:t>This element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A contribution that includes patient-identifiable data also meets the confidentiality policy's disclosure requirement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This step covers standardising collection so analysis is possible. Indicator choice is handled under the quality-improvement policy.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«IMS/POL/01»  |  Controlled document  |  Policy on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