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MOM.11.a — Acquisition process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MOM.11 Record 1 — Medical Supplies Acquisition Process Checklist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the defined acquisition process covers vendor selection, vendor evaluation, indenting, purchase order generation, and receipt of goods.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760"/>
        <w:gridCol w:w="2700"/>
      </w:tblGrid>
      <w:tr>
        <w:trPr>
          <w:tblHeader/>
        </w:trPr>
        <w:tc>
          <w:tcPr>
            <w:tcW w:type="dxa" w:w="39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Acquisition Element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Documented (Y/N)</w:t>
            </w:r>
          </w:p>
        </w:tc>
        <w:tc>
          <w:tcPr>
            <w:tcW w:type="dxa" w:w="27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Section Reference</w:t>
            </w:r>
          </w:p>
        </w:tc>
      </w:tr>
      <w:tr>
        <w:tc>
          <w:tcPr>
            <w:tcW w:type="dxa" w:w="39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Vendor evaluation criteria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7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Section 5.1.2</w:t>
            </w:r>
          </w:p>
        </w:tc>
      </w:tr>
      <w:tr>
        <w:tc>
          <w:tcPr>
            <w:tcW w:type="dxa" w:w="3900"/>
          </w:tcPr>
          <w:p/>
        </w:tc>
        <w:tc>
          <w:tcPr>
            <w:tcW w:type="dxa" w:w="2760"/>
          </w:tcPr>
          <w:p/>
        </w:tc>
        <w:tc>
          <w:tcPr>
            <w:tcW w:type="dxa" w:w="270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760"/>
          </w:tcPr>
          <w:p/>
        </w:tc>
        <w:tc>
          <w:tcPr>
            <w:tcW w:type="dxa" w:w="270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760"/>
          </w:tcPr>
          <w:p/>
        </w:tc>
        <w:tc>
          <w:tcPr>
            <w:tcW w:type="dxa" w:w="270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760"/>
          </w:tcPr>
          <w:p/>
        </w:tc>
        <w:tc>
          <w:tcPr>
            <w:tcW w:type="dxa" w:w="270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760"/>
          </w:tcPr>
          <w:p/>
        </w:tc>
        <w:tc>
          <w:tcPr>
            <w:tcW w:type="dxa" w:w="2700"/>
          </w:tcPr>
          <w:p/>
        </w:tc>
      </w:tr>
      <w:tr>
        <w:tc>
          <w:tcPr>
            <w:tcW w:type="dxa" w:w="3900"/>
          </w:tcPr>
          <w:p/>
        </w:tc>
        <w:tc>
          <w:tcPr>
            <w:tcW w:type="dxa" w:w="2760"/>
          </w:tcPr>
          <w:p/>
        </w:tc>
        <w:tc>
          <w:tcPr>
            <w:tcW w:type="dxa" w:w="27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2026-09-20T03:18:20.511Z</dcterms:created>
  <dcterms:modified xsi:type="dcterms:W3CDTF">2026-09-20T03:18:20.511Z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