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High-Risk and LASA Medication Storage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MOM.3.c, MOM.3.d, MOM.3.e (Stop-Work), MOM.3.f, MOM.3.g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identifies, stores, and separates high-risk and LASA (look-alike, sound-alike) medications so a storage or labelling mix-up never reaches a patient.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the pharmacy and every clinical area that stores medication.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Chief Pharmacist: </w:t>
      </w:r>
      <w:r>
        <w:t xml:space="preserve">maintains the high-risk and LASA lists, and confirms physical separation is in place.</w:t>
      </w:r>
    </w:p>
    <w:p>
      <w:pPr>
        <w:spacing w:after="100"/>
      </w:pPr>
      <w:r>
        <w:rPr>
          <w:b/>
          <w:bCs/>
        </w:rPr>
        <w:t xml:space="preserve">Ward/Unit In-Charge: </w:t>
      </w:r>
      <w:r>
        <w:t xml:space="preserve">confirms separation is maintained in their own area between pharmacy updates.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High-risk medication list and storage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Maintain a defined, periodically updated high-risk medication list, posted in the pharmacy and every clinical area where high-risk medications are stored.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Store high-risk medications in predetermined, clinically justified locations with a safeguard against inadvertent administration — an auxiliary warning label, a double-lock, or an equivalent measure.</w:t>
      </w:r>
    </w:p>
    <w:p>
      <w:pPr>
        <w:pStyle w:val="Heading2"/>
        <w:spacing w:after="100" w:before="250"/>
      </w:pPr>
      <w:r>
        <w:t xml:space="preserve">4.2 What counts as a LASA pair, and examples</w:t>
      </w:r>
    </w:p>
    <w:p>
      <w:pPr>
        <w:spacing w:after="150"/>
      </w:pPr>
      <w:r>
        <w:t xml:space="preserve">A LASA pair is two medications whose names look similar when written (look-alike) or sound similar when spoken (sound-alike), creating a real risk that one is picked, prescribed, or dispensed in place of the other. Some pairs are both. Examples published by the Institute for Safe Medication Practices (ISMP)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hydrALAZINE and hydrOXYzine — sound-alike; one is a blood-pressure medication, the other an antihistamine/sedative.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amILORIDE and amLODIPine — look-alike; a potassium-sparing diuretic confused with a calcium-channel blocker.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DOPamine and DOBUTamine — sound-alike and look-alike; both are cardiac infusions with very different dosing, making this pair especially dangerous in an ICU or emergency setting.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amiodarone and amantadine — sound-alike; an antiarrhythmic confused with an antiviral/antiparkinsonian agent.</w:t>
      </w:r>
    </w:p>
    <w:p>
      <w:pPr>
        <w:spacing w:after="150"/>
      </w:pPr>
      <w:r>
        <w:t xml:space="preserve">These four are illustrations, not the hospital's actual list — pharmacy staff cross-check the full current ISMP List of Confused Drug Names (Section 9 reference) against «Hospital Name»'s own formulary to build and maintain the working list for this hospital.</w:t>
      </w:r>
    </w:p>
    <w:p>
      <w:pPr>
        <w:pStyle w:val="Heading2"/>
        <w:spacing w:after="100" w:before="250"/>
      </w:pPr>
      <w:r>
        <w:t xml:space="preserve">4.3 Identifying LASA pairs specific to this hospital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The Chief Pharmacist cross-checks every item on the current formulary against the ISMP List of Confused Drug Names at least once a year, and whenever a new medication is added to the formulary.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Where two formulary medications are not on the ISMP list but share a similar spelling, pronunciation, packaging appearance, or storage location, add the pair to the hospital's own list — the ISMP list is a starting point, not a ceiling.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Give particular attention to medications stored near each other alphabetically or by drug class, since proximity increases risk even for names that are only moderately similar.</w:t>
      </w:r>
    </w:p>
    <w:p>
      <w:pPr>
        <w:pStyle w:val="Heading2"/>
        <w:spacing w:after="100" w:before="250"/>
      </w:pPr>
      <w:r>
        <w:t xml:space="preserve">4.4 Separation and labelling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Physically separate every listed LASA pair in the pharmacy and in every patient care area where either drug is stored — never store them on adjacent shelves or bins.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Use Tall Man lettering (capitalising the differing letters, e.g. hydrALAZINE / hydrOXYzine) on LASA medication labels and storage bins wherever practicable, following the ISMP-recommended pattern for that pair.</w:t>
      </w:r>
    </w:p>
    <w:p>
      <w:pPr>
        <w:pStyle w:val="Heading2"/>
        <w:spacing w:after="100" w:before="250"/>
      </w:pPr>
      <w:r>
        <w:t xml:space="preserve">4.5 Emergency medication stock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Maintain the defined emergency-medication list, uniformly stored and kept free of other drugs.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Check emergency stock at least daily — or, for sealed carts, after each use or once a month — and replenish immediately after use.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store a listed LASA pair or different concentration of the same drug on the same shelf, bin, or drawer — physical separation is mandatory, every time, in every area.</w:t>
      </w:r>
    </w:p>
    <w:p>
      <w:pPr>
        <w:spacing w:after="150"/>
      </w:pPr>
      <w:r>
        <w:t xml:space="preserve">Any staff member who finds a LASA pair stored together corrects it immediately and reports it the same shift — this is never treated as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4 through 7 of the MOM.3 Required Records pack: High-Risk Medication List, High-Risk Storage Safeguard Record, LASA Medication List, and LASA Physical Separation Audit.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Storage and Availability of Medications (HCO/MOM/POL/03) — MOM.3 policy, Section 5.5 (LASA identification and separation)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LASA-related near miss or error.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Institute for Safe Medication Practices (ISMP). (n.d.). List of Confused Drug Names. </w:t>
      </w:r>
      <w:hyperlink r:id="rId8">
        <w:r>
          <w:rPr>
            <w:color w:val="0563C1"/>
            <w:u w:val="single"/>
          </w:rPr>
          <w:t>https://home.ecri.org/blogs/ismp-resources/list-of-confused-drug-names</w:t>
        </w:r>
      </w:hyperlink>
      <w:r>
        <w:t xml:space="preserve"> — the full current list of LASA pairs and recommended Tall Man lettering; the examples in Section 4.2 are drawn directly from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Institute for Safe Medication Practices (ISMP). (2024). List of High-Alert Medications in Acute Care Settings. </w:t>
      </w:r>
      <w:hyperlink r:id="rId9">
        <w:r>
          <w:rPr>
            <w:color w:val="0563C1"/>
            <w:u w:val="single"/>
          </w:rPr>
          <w:t>https://home.ecri.org/blogs/ismp-resources/high-alert-medications-in-acute-care-settings</w:t>
        </w:r>
      </w:hyperlink>
      <w:r>
        <w:t xml:space="preserve"> — the reference list of medications requiring structural safeguards beyond ordinary vigilance.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home.ecri.org/blogs/ismp-resources/list-of-confused-drug-names" TargetMode="External"/><Relationship Id="rId9" Type="http://schemas.openxmlformats.org/officeDocument/2006/relationships/hyperlink" Target="https://home.ecri.org/blogs/ismp-resources/high-alert-medications-in-acute-care-setting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2026-09-20T04:22:12.190Z</dcterms:created>
  <dcterms:modified xsi:type="dcterms:W3CDTF">2026-09-20T04:22:12.190Z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