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MOM.4.g — Monthly prescription audit (Achievement)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MOM.4 Record 8 — Monthly Prescription Audit Record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Documents the monthly representative-sample prescription audit against required scope parameters.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80"/>
        <w:gridCol w:w="2760"/>
        <w:gridCol w:w="1680"/>
        <w:gridCol w:w="1440"/>
      </w:tblGrid>
      <w:tr>
        <w:trPr>
          <w:tblHeader/>
        </w:trPr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Audit Month</w:t>
            </w:r>
          </w:p>
        </w:tc>
        <w:tc>
          <w:tcPr>
            <w:tcW w:type="dxa" w:w="16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Sample Size</w:t>
            </w:r>
          </w:p>
        </w:tc>
        <w:tc>
          <w:tcPr>
            <w:tcW w:type="dxa" w:w="27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Parameters Checked</w:t>
            </w:r>
          </w:p>
        </w:tc>
        <w:tc>
          <w:tcPr>
            <w:tcW w:type="dxa" w:w="16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Non-Compliance Rate</w:t>
            </w:r>
          </w:p>
        </w:tc>
        <w:tc>
          <w:tcPr>
            <w:tcW w:type="dxa" w:w="14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Audited By</w:t>
            </w:r>
          </w:p>
        </w:tc>
      </w:tr>
      <w:tr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Jan 2026</w:t>
            </w:r>
          </w:p>
        </w:tc>
        <w:tc>
          <w:tcPr>
            <w:tcW w:type="dxa" w:w="16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50 prescriptions</w:t>
            </w:r>
          </w:p>
        </w:tc>
        <w:tc>
          <w:tcPr>
            <w:tcW w:type="dxa" w:w="27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Legibility, completeness, formulary adherence</w:t>
            </w:r>
          </w:p>
        </w:tc>
        <w:tc>
          <w:tcPr>
            <w:tcW w:type="dxa" w:w="16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6%</w:t>
            </w:r>
          </w:p>
        </w:tc>
        <w:tc>
          <w:tcPr>
            <w:tcW w:type="dxa" w:w="14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Chief Pharmacist</w:t>
            </w:r>
          </w:p>
        </w:tc>
      </w:tr>
      <w:tr>
        <w:tc>
          <w:tcPr>
            <w:tcW w:type="dxa" w:w="1800"/>
          </w:tcPr>
          <w:p/>
        </w:tc>
        <w:tc>
          <w:tcPr>
            <w:tcW w:type="dxa" w:w="1680"/>
          </w:tcPr>
          <w:p/>
        </w:tc>
        <w:tc>
          <w:tcPr>
            <w:tcW w:type="dxa" w:w="2760"/>
          </w:tcPr>
          <w:p/>
        </w:tc>
        <w:tc>
          <w:tcPr>
            <w:tcW w:type="dxa" w:w="168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1680"/>
          </w:tcPr>
          <w:p/>
        </w:tc>
        <w:tc>
          <w:tcPr>
            <w:tcW w:type="dxa" w:w="2760"/>
          </w:tcPr>
          <w:p/>
        </w:tc>
        <w:tc>
          <w:tcPr>
            <w:tcW w:type="dxa" w:w="168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1680"/>
          </w:tcPr>
          <w:p/>
        </w:tc>
        <w:tc>
          <w:tcPr>
            <w:tcW w:type="dxa" w:w="2760"/>
          </w:tcPr>
          <w:p/>
        </w:tc>
        <w:tc>
          <w:tcPr>
            <w:tcW w:type="dxa" w:w="168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1680"/>
          </w:tcPr>
          <w:p/>
        </w:tc>
        <w:tc>
          <w:tcPr>
            <w:tcW w:type="dxa" w:w="2760"/>
          </w:tcPr>
          <w:p/>
        </w:tc>
        <w:tc>
          <w:tcPr>
            <w:tcW w:type="dxa" w:w="168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1680"/>
          </w:tcPr>
          <w:p/>
        </w:tc>
        <w:tc>
          <w:tcPr>
            <w:tcW w:type="dxa" w:w="2760"/>
          </w:tcPr>
          <w:p/>
        </w:tc>
        <w:tc>
          <w:tcPr>
            <w:tcW w:type="dxa" w:w="1680"/>
          </w:tcPr>
          <w:p/>
        </w:tc>
        <w:tc>
          <w:tcPr>
            <w:tcW w:type="dxa" w:w="144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2026-09-20T03:15:20.847Z</dcterms:created>
  <dcterms:modified xsi:type="dcterms:W3CDTF">2026-09-20T03:15:20.847Z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