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Safe Prescribing — Allergy Check, Completeness and Decision Support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MOM.4.a, MOM.4.b (CORE), MOM.4.c (Stop-Work), MOM.4.d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prescribes rationally and safely — checking allergy history before every prescription, writing every prescription with all required elements, and using decision-support tools where available.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outpatient and inpatient prescription written at «Hospital Name».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Prescribing Clinician: </w:t>
      </w:r>
      <w:r>
        <w:t xml:space="preserve">checks allergy/ADR history, writes a complete prescription, and follows the Code of Medical Ethics-2002.</w:t>
      </w:r>
    </w:p>
    <w:p>
      <w:pPr>
        <w:spacing w:after="100"/>
      </w:pPr>
      <w:r>
        <w:rPr>
          <w:b/>
          <w:bCs/>
        </w:rPr>
        <w:t xml:space="preserve">Pharmacist: </w:t>
      </w:r>
      <w:r>
        <w:t xml:space="preserve">holds non-compliant prescriptions and confirms decision-support alerts are actioned.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pStyle w:val="Heading2"/>
        <w:spacing w:after="100" w:before="250"/>
      </w:pPr>
      <w:r>
        <w:t xml:space="preserve">4.1 Allergy and adverse-reaction check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Ascertain drug allergies and previous adverse drug reactions before every prescription — this step comes first, before the medication is decided.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Document the allergy/ADR check in the patient record, whether the finding is positive or negative.</w:t>
      </w:r>
    </w:p>
    <w:p>
      <w:pPr>
        <w:pStyle w:val="Heading2"/>
        <w:spacing w:after="100" w:before="250"/>
      </w:pPr>
      <w:r>
        <w:t xml:space="preserve">4.2 Writing the prescription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Include all seven minimum elements on every prescription: patient name, age/weight (paediatric), date, medication name, dose, route, frequency, and duration, plus the prescriber's name and signature.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Write in capital letters where handwritten, and use only approved, non-error-prone abbreviations.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Where a prescription is missing a required element or uses a non-compliant abbreviation, the pharmacist holds it and contacts the prescriber for correction before dispensing.</w:t>
      </w:r>
    </w:p>
    <w:p>
      <w:pPr>
        <w:pStyle w:val="Heading2"/>
        <w:spacing w:after="100" w:before="250"/>
      </w:pPr>
      <w:r>
        <w:t xml:space="preserve">4.3 Decision support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Use the available clinician decision-support mechanism — electronic or physical — to check drug interactions, food-drug interactions, therapeutic duplication, and dose adjustments.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Document the alert and the action taken whenever a decision-support alert fires.</w:t>
      </w:r>
    </w:p>
    <w:p>
      <w:pPr>
        <w:pStyle w:val="Heading1"/>
        <w:spacing w:after="150" w:before="300"/>
      </w:pPr>
      <w:r>
        <w:t xml:space="preserve">5. Stop-Work Authority</w:t>
      </w:r>
    </w:p>
    <w:p>
      <w:pPr>
        <w:spacing w:after="150"/>
      </w:pPr>
      <w:r>
        <w:t xml:space="preserve">Do not prescribe without first checking drug allergy and adverse drug reaction history — for every patient, every time.</w:t>
      </w:r>
    </w:p>
    <w:p>
      <w:pPr>
        <w:spacing w:after="150"/>
      </w:pPr>
      <w:r>
        <w:t xml:space="preserve">The pharmacist holds any prescription with a missing required element or a non-approved abbreviation until it is corrected — dispensing does not proceed on a held prescription.</w:t>
      </w:r>
    </w:p>
    <w:p>
      <w:pPr>
        <w:spacing w:after="150"/>
      </w:pPr>
      <w:r>
        <w:t xml:space="preserve">Raising a missed allergy check or an incomplete prescription is never a disciplinary matter, regardless of the prescriber's seniority.</w:t>
      </w:r>
    </w:p>
    <w:p>
      <w:pPr>
        <w:pStyle w:val="Heading1"/>
        <w:spacing w:after="150" w:before="300"/>
      </w:pPr>
      <w:r>
        <w:t xml:space="preserve">6. Records</w:t>
      </w:r>
    </w:p>
    <w:p>
      <w:pPr>
        <w:spacing w:after="150"/>
      </w:pPr>
      <w:r>
        <w:t xml:space="preserve">Supported by Records 1 through 5 of the MOM.4 Required Records pack.</w:t>
      </w:r>
    </w:p>
    <w:p>
      <w:pPr>
        <w:pStyle w:val="Heading1"/>
        <w:spacing w:after="150" w:before="300"/>
      </w:pPr>
      <w:r>
        <w:t xml:space="preserve">7.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>Policy on Safe and Rational Prescription of Medications (HCO/MOM/POL/04) — MOM.4 policy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SOP — Verbal Order Process (MOM.4.f)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SOP — Medication Reconciliation (MOM.4.e)</w:t>
      </w:r>
    </w:p>
    <w:p>
      <w:pPr>
        <w:pStyle w:val="Heading1"/>
        <w:spacing w:after="150" w:before="300"/>
      </w:pPr>
      <w:r>
        <w:t xml:space="preserve">8. Review</w:t>
      </w:r>
    </w:p>
    <w:p>
      <w:pPr>
        <w:spacing w:after="150"/>
      </w:pPr>
      <w:r>
        <w:t xml:space="preserve">Reviewed annually, and immediately after any allergy-related adverse event.</w:t>
      </w:r>
    </w:p>
    <w:p>
      <w:pPr>
        <w:pStyle w:val="Heading1"/>
        <w:spacing w:after="150" w:before="300"/>
      </w:pPr>
      <w:r>
        <w:t xml:space="preserve">9.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National Medical Commission (adopting the Indian Medical Council). (2002). Code of Medical Ethics — Professional Conduct, Etiquette and Ethics Regulations. </w:t>
      </w:r>
      <w:hyperlink r:id="rId8">
        <w:r>
          <w:rPr>
            <w:color w:val="0563C1"/>
            <w:u w:val="single"/>
          </w:rPr>
          <w:t>https://www.nmc.org.in/wp-content/uploads/2017/10/Ethics-Regulations-2002.pdf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www.nmc.org.in/wp-content/uploads/2017/10/Ethics-Regulations-2002.pdf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2026-09-20T03:22:23.605Z</dcterms:created>
  <dcterms:modified xsi:type="dcterms:W3CDTF">2026-09-20T03:22:23.605Z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