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Medication Order Writing Standards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MOM.5.a through MOM.5.d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writes inpatient medication orders in one uniform location, legibly, and without banned shorthand.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inpatient medication order.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Order-Writing Clinician: </w:t>
      </w:r>
      <w:r>
        <w:t xml:space="preserve">writes every order in the correct location, legibly, and with a fresh order for any modification.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Confirm you are authorised to write orders — MBBS-minimum or a documented statutory/government-order basis — before writing one.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Write every order in the single uniform location, with patient name and unique ID, and administer only from that location.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Never use shorthand phrases such as 'CST' or 'repeat all' — write out each order in full.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To modify an order, write a fresh order — never strike through or overwrite the old one.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Write in capital letters if handwriting, use only the approved abbreviation list, and never use an error-prone abbreviation.</w:t>
      </w:r>
    </w:p>
    <w:p>
      <w:pPr>
        <w:spacing w:after="120"/>
      </w:pPr>
      <w:r>
        <w:rPr>
          <w:b/>
          <w:bCs/>
        </w:rPr>
        <w:t xml:space="preserve">6. </w:t>
      </w:r>
      <w:r>
        <w:t xml:space="preserve">Write separate, separately timed orders for different strengths of the same drug — except for vitamin and/or mineral combinations, which may be ordered together.</w:t>
      </w:r>
    </w:p>
    <w:p>
      <w:pPr>
        <w:spacing w:after="120"/>
      </w:pPr>
      <w:r>
        <w:rPr>
          <w:b/>
          <w:bCs/>
        </w:rPr>
        <w:t xml:space="preserve">7. </w:t>
      </w:r>
      <w:r>
        <w:t xml:space="preserve">If you receive an incomplete order from another prescriber, do not fill the gap yourself — contact them directly for clarification.</w:t>
      </w:r>
    </w:p>
    <w:p>
      <w:pPr>
        <w:pStyle w:val="Heading1"/>
        <w:spacing w:after="150" w:before="300"/>
      </w:pPr>
      <w:r>
        <w:t xml:space="preserve">5. Records</w:t>
      </w:r>
    </w:p>
    <w:p>
      <w:pPr>
        <w:spacing w:after="150"/>
      </w:pPr>
      <w:r>
        <w:t xml:space="preserve">Supported by all 5 records in the MOM.5 Required Records pack.</w:t>
      </w:r>
    </w:p>
    <w:p>
      <w:pPr>
        <w:pStyle w:val="Heading1"/>
        <w:spacing w:after="150" w:before="300"/>
      </w:pPr>
      <w:r>
        <w:t xml:space="preserve">6.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>Policy on Uniform Medication Orders (HCO/MOM/POL/05) — MOM.5 policy</w:t>
      </w:r>
    </w:p>
    <w:p>
      <w:pPr>
        <w:pStyle w:val="Heading1"/>
        <w:spacing w:after="150" w:before="300"/>
      </w:pPr>
      <w:r>
        <w:t xml:space="preserve">7. Review</w:t>
      </w:r>
    </w:p>
    <w:p>
      <w:pPr>
        <w:spacing w:after="150"/>
      </w:pPr>
      <w:r>
        <w:t xml:space="preserve">Reviewed annually, and immediately after any order-transcription error.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Institute for Safe Medication Practices (ISMP). (n.d.). List of Error-Prone Abbreviations, Symbols, and Dose Designations. </w:t>
      </w:r>
      <w:hyperlink r:id="rId8">
        <w:r>
          <w:rPr>
            <w:color w:val="0563C1"/>
            <w:u w:val="single"/>
          </w:rPr>
          <w:t>https://home.ecri.org/blogs/ismp-resources</w:t>
        </w:r>
      </w:hyperlink>
      <w:r>
        <w:t xml:space="preserve"> — the basis for the hospital's approved abbreviation list and banned error-prone abbreviations.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home.ecri.org/blogs/ismp-resources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2026-09-20T03:29:22.696Z</dcterms:created>
  <dcterms:modified xsi:type="dcterms:W3CDTF">2026-09-20T03:29:22.696Z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