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2"/>
          <w:szCs w:val="32"/>
        </w:rPr>
        <w:t xml:space="preserve">Standard Operating Procedure</w:t>
      </w:r>
    </w:p>
    <w:p>
      <w:pPr>
        <w:spacing w:after="60"/>
      </w:pPr>
      <w:r>
        <w:rPr>
          <w:b/>
          <w:bCs/>
          <w:color w:val="444444"/>
          <w:sz w:val="26"/>
          <w:szCs w:val="26"/>
        </w:rPr>
        <w:t xml:space="preserve">IV Line and Tubing Safety — Preventing Misconnection</w:t>
      </w:r>
    </w:p>
    <w:p>
      <w:pPr>
        <w:spacing w:after="250"/>
      </w:pPr>
      <w:r>
        <w:rPr>
          <w:i/>
          <w:iCs/>
          <w:color w:val="666666"/>
        </w:rPr>
        <w:t xml:space="preserve">«Hospital Name» — Supports MOM.7.h (CORE, Stop-Work)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SOP No.</w:t>
            </w:r>
          </w:p>
        </w:tc>
        <w:tc>
          <w:tcPr>
            <w:tcW w:type="dxa" w:w="2340"/>
            <w:gridSpan w:val="1"/>
          </w:tcPr>
          <w:p>
            <w:r>
              <w:t xml:space="preserve">[Hospital to define]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2340"/>
            <w:gridSpan w:val="1"/>
          </w:tcPr>
          <w:p>
            <w:r>
              <w:t xml:space="preserve">1.0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Effective Date</w:t>
            </w:r>
          </w:p>
        </w:tc>
        <w:tc>
          <w:tcPr>
            <w:tcW w:type="dxa" w:w="2340"/>
            <w:gridSpan w:val="1"/>
          </w:tcPr>
          <w:p>
            <w:r>
              <w:t xml:space="preserve">________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 Frequency</w:t>
            </w:r>
          </w:p>
        </w:tc>
        <w:tc>
          <w:tcPr>
            <w:tcW w:type="dxa" w:w="2340"/>
            <w:gridSpan w:val="1"/>
          </w:tcPr>
          <w:p>
            <w:r>
              <w:t xml:space="preserve">Annual, or on change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Prepared By</w:t>
            </w:r>
          </w:p>
        </w:tc>
        <w:tc>
          <w:tcPr>
            <w:tcW w:type="dxa" w:w="7020"/>
            <w:gridSpan w:val="3"/>
          </w:tcPr>
          <w:p>
            <w:r>
              <w:t xml:space="preserve">Quality Coordinator   Name: ________   Signature: ________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Approved By</w:t>
            </w:r>
          </w:p>
        </w:tc>
        <w:tc>
          <w:tcPr>
            <w:tcW w:type="dxa" w:w="7020"/>
            <w:gridSpan w:val="3"/>
          </w:tcPr>
          <w:p>
            <w:r>
              <w:t xml:space="preserve">Medical Superintendent   Name: ________   Signature: ________</w:t>
            </w:r>
          </w:p>
        </w:tc>
      </w:tr>
    </w:tbl>
    <w:p>
      <w:pPr>
        <w:spacing w:after="250"/>
      </w:pPr>
    </w:p>
    <w:p>
      <w:pPr>
        <w:pStyle w:val="Heading1"/>
        <w:spacing w:after="150" w:before="300"/>
      </w:pPr>
      <w:r>
        <w:t xml:space="preserve">1. Purpose</w:t>
      </w:r>
    </w:p>
    <w:p>
      <w:pPr>
        <w:spacing w:after="150"/>
      </w:pPr>
      <w:r>
        <w:t xml:space="preserve">This SOP describes how «Hospital Name» prevents a fatal tubing misconnection — the wrong-route delivery of a medication, feed, or fluid caused by connecting the wrong line.</w:t>
      </w:r>
    </w:p>
    <w:p>
      <w:pPr>
        <w:pStyle w:val="Heading1"/>
        <w:spacing w:after="150" w:before="300"/>
      </w:pPr>
      <w:r>
        <w:t xml:space="preserve">2. Scope</w:t>
      </w:r>
    </w:p>
    <w:p>
      <w:pPr>
        <w:spacing w:after="150"/>
      </w:pPr>
      <w:r>
        <w:t xml:space="preserve">Applies to every patient with more than one line or tube in place — IV, epidural, enteral feeding, drain, or central line.</w:t>
      </w:r>
    </w:p>
    <w:p>
      <w:pPr>
        <w:pStyle w:val="Heading1"/>
        <w:spacing w:after="150" w:before="300"/>
      </w:pPr>
      <w:r>
        <w:t xml:space="preserve">3. Responsibility</w:t>
      </w:r>
    </w:p>
    <w:p>
      <w:pPr>
        <w:spacing w:after="100"/>
      </w:pPr>
      <w:r>
        <w:rPr>
          <w:b/>
          <w:bCs/>
        </w:rPr>
        <w:t xml:space="preserve">Registered Nurse / Doctor: </w:t>
      </w:r>
      <w:r>
        <w:t xml:space="preserve">traces every line before connecting or reconnecting anything to it.</w:t>
      </w:r>
    </w:p>
    <w:p>
      <w:pPr>
        <w:pStyle w:val="Heading1"/>
        <w:spacing w:after="150" w:before="300"/>
      </w:pPr>
      <w:r>
        <w:t xml:space="preserve">4. Procedure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Trace a line from the patient to its origin before every connection or reconnection — never assume a line's identity from its location or appearance alone.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Position dissimilar tubes away from each other wherever the patient has more than one type of line — physical separation reduces the chance of grabbing the wrong one.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Where the hospital's equipment includes ENFit or other ISO 80369-series application-specific connectors, use them as intended — never force an adapter to bridge two systems that are not meant to connect.</w:t>
      </w:r>
    </w:p>
    <w:p>
      <w:pPr>
        <w:spacing w:after="120"/>
      </w:pPr>
      <w:r>
        <w:rPr>
          <w:b/>
          <w:bCs/>
        </w:rPr>
        <w:t xml:space="preserve">4. </w:t>
      </w:r>
      <w:r>
        <w:t xml:space="preserve">Label each line at the patient end where multiple lines are present, to support quick, accurate tracing during handover or an emergency.</w:t>
      </w:r>
    </w:p>
    <w:p>
      <w:pPr>
        <w:pStyle w:val="Heading1"/>
        <w:spacing w:after="150" w:before="300"/>
      </w:pPr>
      <w:r>
        <w:t xml:space="preserve">5. Stop-Work Authority</w:t>
      </w:r>
    </w:p>
    <w:p>
      <w:pPr>
        <w:spacing w:after="150"/>
      </w:pPr>
      <w:r>
        <w:t xml:space="preserve">Do not use an IV extension tube for an epidural, irrigation line, drain, central line, or enteric feeding tube — this substitution is prohibited absolutely, with no exception.</w:t>
      </w:r>
    </w:p>
    <w:p>
      <w:pPr>
        <w:spacing w:after="150"/>
      </w:pPr>
      <w:r>
        <w:t xml:space="preserve">Do not connect or reconnect any line without tracing it first, from the patient to its origin.</w:t>
      </w:r>
    </w:p>
    <w:p>
      <w:pPr>
        <w:spacing w:after="150"/>
      </w:pPr>
      <w:r>
        <w:t xml:space="preserve">Any staff member who sees an improper connection stops the connection immediately and corrects it — this is never a disciplinary matter.</w:t>
      </w:r>
    </w:p>
    <w:p>
      <w:pPr>
        <w:pStyle w:val="Heading1"/>
        <w:spacing w:after="150" w:before="300"/>
      </w:pPr>
      <w:r>
        <w:t xml:space="preserve">6. Records</w:t>
      </w:r>
    </w:p>
    <w:p>
      <w:pPr>
        <w:spacing w:after="150"/>
      </w:pPr>
      <w:r>
        <w:t xml:space="preserve">Supported by Record 8 of the MOM.7 Required Records pack: IV Line Trace &amp; Tubing Safety Log.</w:t>
      </w:r>
    </w:p>
    <w:p>
      <w:pPr>
        <w:pStyle w:val="Heading1"/>
        <w:spacing w:after="150" w:before="300"/>
      </w:pPr>
      <w:r>
        <w:t xml:space="preserve">7. Related Documents</w:t>
      </w:r>
    </w:p>
    <w:p>
      <w:pPr>
        <w:pStyle w:val="ListParagraph"/>
        <w:numPr>
          <w:ilvl w:val="0"/>
          <w:numId w:val="1"/>
        </w:numPr>
        <w:spacing w:after="80"/>
      </w:pPr>
      <w:r>
        <w:t>Policy on Safe Administration of Medications (HCO/MOM/POL/07) — MOM.7 policy</w:t>
      </w:r>
    </w:p>
    <w:p>
      <w:pPr>
        <w:pStyle w:val="Heading1"/>
        <w:spacing w:after="150" w:before="300"/>
      </w:pPr>
      <w:r>
        <w:t xml:space="preserve">8. Review</w:t>
      </w:r>
    </w:p>
    <w:p>
      <w:pPr>
        <w:spacing w:after="150"/>
      </w:pPr>
      <w:r>
        <w:t xml:space="preserve">Reviewed annually, and immediately after any tubing-misconnection near miss or event.</w:t>
      </w:r>
    </w:p>
    <w:p>
      <w:pPr>
        <w:pStyle w:val="Heading1"/>
        <w:spacing w:after="150" w:before="300"/>
      </w:pPr>
      <w:r>
        <w:t xml:space="preserve">9. References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Global Enteral Device Supplier Association (GEDSA). (n.d.). ISO 80369 Series — Small-Bore Connectors for Liquids and Gases in Healthcare Applications. </w:t>
      </w:r>
      <w:hyperlink r:id="rId8">
        <w:r>
          <w:rPr>
            <w:color w:val="0563C1"/>
            <w:u w:val="single"/>
          </w:rPr>
          <w:t>https://stayconnected.org/enfit/</w:t>
        </w:r>
      </w:hyperlink>
      <w:r>
        <w:t xml:space="preserve"> — the international standard behind application-specific connectors (including ENFit for enteral use) designed to make cross-system misconnection mechanically difficult.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yperlink" Target="https://stayconnected.org/enfit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2026-09-20T03:23:35.416Z</dcterms:created>
  <dcterms:modified xsi:type="dcterms:W3CDTF">2026-09-20T03:23:35.416Z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