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MOM.9.a — Written guidance for special drug categories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1 — Special Drug Category Guidance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covers all handling requirements for narcotic drugs, psychotropic substances, chemotherapeutic agents, and radio-pharmaceuticals.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Category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Handling Requirements Documented (Y/N)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Based on Current Regulation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Narcotic drugs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NDPS Act 1985 + Rules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2026-09-20T03:17:42.648Z</dcterms:created>
  <dcterms:modified xsi:type="dcterms:W3CDTF">2026-09-20T03:17:42.648Z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