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AAC.1.c — Scope of clinical services of each department defined</w:t>
      </w:r>
    </w:p>
    <w:p>
      <w:r>
        <w:rPr>
          <w:b/>
          <w:sz w:val="30"/>
        </w:rPr>
        <w:t>AAC.1 Record 10 — Scope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Annual or change-triggered review of each department's clinical scope. Every time this happens for real, whoever is responsible adds one new row to the table below, filling in: Date, Trigger (Annual / Change), Reviewed By, Changes Made.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annual or change-triggered review of each department's clinical scope. The worked example below shows a real entry: on 05-Jan-2026, trigger (annual / change) was “Annual”, reviewed by was “Dr. A. Rao”, changes made was “No change required”.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'05-Jan-2026'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Trigger (Annual / Change): </w:t>
      </w:r>
      <w:r>
        <w:t>Enter the actual trigger (annual / change) for this specific entry — real information from what actually happened, not a placeholder. The worked example row below shows 'Annual'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Enter the actual reviewed by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Changes Made: </w:t>
      </w:r>
      <w:r>
        <w:t>Enter the actual changes made for this specific entry — real information from what actually happened, not a placeholder. The worked example row below shows 'No change required'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Trigger (Annual / Change)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Changes Made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Annual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change required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