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AAC.10.d — Hand-over (CORE)</w:t>
      </w:r>
    </w:p>
    <w:p>
      <w:r>
        <w:rPr>
          <w:b/>
          <w:sz w:val="30"/>
        </w:rPr>
        <w:t>AAC.10 Record 7 — Transfer Hand-Over Acknowledgement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Transfer hand-over with acknowledgement by the receiving team. Every time this happens for real, whoever is responsible adds one new row to the table below, filling in: Patient ID, Transferring Team, Receiving Team, Acknowledged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hands the patient over fills in a new row at the time the handover or transfer actually happens — in this case, that means transfer hand-over with acknowledgement by the receiving team. The worked example below shows a real entry: patient id was “IP-2026-0142”, transferring team was “Emergency Team”, receiving team was “ICU Team”.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Care handed from one person, shift or department to another is one of the most common points where information gets lost — this record is what proves the handover or transfer actually happened and what was actually passed on. NABH treats this element as CORE — meaning it's considered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Transferring Team: </w:t>
      </w:r>
      <w:r>
        <w:t>Enter the actual transferring team for this specific entry — real information from what actually happened, not a placeholder. The worked example row below shows 'Emergency Team'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Receiving Team: </w:t>
      </w:r>
      <w:r>
        <w:t>Enter the actual receiving team for this specific entry — real information from what actually happened, not a placeholder. The worked example row below shows 'ICU Team'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Acknowledged By: </w:t>
      </w:r>
      <w:r>
        <w:t>Enter the actual acknowledged by for this specific entry — real information from what actually happened, not a placeholder. The worked example row below shows 'Dr. C. Menon'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Transferring Team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Receiving Team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Acknowledged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Emergency Team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ICU Team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C. Menon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