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Standardised Hand-Over Communication</w:t>
      </w:r>
    </w:p>
    <w:p>
      <w:r>
        <w:t>«Hospital Name» — Supports AAC.10.d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conducts and documents hand-over between shifts, between units, and during transfers — so no clinical information is lost when responsibility changes.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conducts and documents hand-over between shifts, between units, and during transfers — so no clinical information is lost when responsibility changes.</w:t>
      </w:r>
    </w:p>
    <w:p>
      <w:pPr>
        <w:pStyle w:val="Heading1"/>
      </w:pPr>
      <w:r>
        <w:t>2. Scope</w:t>
      </w:r>
    </w:p>
    <w:p>
      <w:r>
        <w:t>Applies to every doctor and nurse providing direct patient care, at every shift change, unit change, or transfer.</w:t>
      </w:r>
    </w:p>
    <w:p>
      <w:pPr>
        <w:pStyle w:val="Heading1"/>
      </w:pPr>
      <w:r>
        <w:t>3. Responsibility</w:t>
      </w:r>
    </w:p>
    <w:p>
      <w:r>
        <w:t xml:space="preserve">Outgoing Staff: </w:t>
      </w:r>
      <w:r>
        <w:t>gives a complete, documented hand-over before leaving.</w:t>
      </w:r>
    </w:p>
    <w:p>
      <w:r>
        <w:t xml:space="preserve">Incoming Staff: </w:t>
      </w:r>
      <w:r>
        <w:t>acknowledges the hand-over and asks questions before taking over.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Use the hospital's standardised hand-over framework (e.g. SBAR — Situation, Background, Assessment, Recommendation) for every hand-over, without exception. SBAR is recognised by the Institute for Healthcare Improvement, The Joint Commission, AHRQ, and WHO as an effective handoff communication tool — see Section 8, Reference 1.</w:t>
      </w:r>
    </w:p>
    <w:p>
      <w:r>
        <w:t>2. Document the hand-over in the patient record — key clinical points, pending tasks, and any concern flagged during the shift.</w:t>
      </w:r>
    </w:p>
    <w:p>
      <w:r>
        <w:t>3. The incoming clinician acknowledges the hand-over was received and understood, before the outgoing clinician leaves.</w:t>
      </w:r>
    </w:p>
    <w:p>
      <w:r>
        <w:t>4. For a transfer between units or departments, the receiving team documents acknowledgement of takeover, not just receipt.</w:t>
      </w:r>
    </w:p>
    <w:p>
      <w:r>
        <w:t>5. Never let a hand-over proceed undocumented or without acknowledgement — this is a CORE requirement with no exception.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Institute for Healthcare Improvement. (n.d.). SBAR tool: Situation-Background-Assessment-Recommendation.</w:t>
        </w:r>
      </w:hyperlink>
    </w:p>
    <w:p>
      <w:pPr>
        <w:pStyle w:val="ListParagraph"/>
      </w:pPr>
      <w:hyperlink r:id="rId10">
        <w:r>
          <w:rPr>
            <w:color w:val="0563C1"/>
            <w:u w:val="single"/>
          </w:rPr>
          <w:t>World Health Organization. (2007). Communication during patient hand-overs (Patient Safety Solutions, Vol. 1, Solution 3).</w:t>
        </w:r>
      </w:hyperlink>
    </w:p>
    <w:p>
      <w:pPr>
        <w:pStyle w:val="Heading1"/>
      </w:pPr>
      <w:r>
        <w:t>5. Records</w:t>
      </w:r>
    </w:p>
    <w:p>
      <w:r>
        <w:t>Supported by Records 6–7 of the AAC.10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Continuous and Multi-Disciplinary Patient Care (HCO/AAC/POL/10) — AAC.10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IHI — Patient Safety Essentials Toolkit: SBAR Tool</w:t>
        </w:r>
      </w:hyperlink>
    </w:p>
    <w:p>
      <w:pPr>
        <w:pStyle w:val="Heading1"/>
      </w:pPr>
      <w:r>
        <w:t>8.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hi.org/library/tools/sbar-tool-situation-background-assessment-recommendation" TargetMode="External"/><Relationship Id="rId10" Type="http://schemas.openxmlformats.org/officeDocument/2006/relationships/hyperlink" Target="https://cdn.who.int/media/docs/default-source/patient-safety/patient-safety-solutions/ps-solution3-communication-during-patient-handovers.pdf" TargetMode="External"/><Relationship Id="rId11" Type="http://schemas.openxmlformats.org/officeDocument/2006/relationships/hyperlink" Target="https://nabh.co/programmes/hospitals-accreditation-programme-hco/" TargetMode="External"/><Relationship Id="rId12" Type="http://schemas.openxmlformats.org/officeDocument/2006/relationships/hyperlink" Target="https://www.ihi.org/library/tools/patient-safety-essentials-toolk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