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AAC.11.e — Lifestyle health education (Commitment)</w:t>
      </w:r>
    </w:p>
    <w:p>
      <w:r>
        <w:rPr>
          <w:b/>
          <w:sz w:val="30"/>
        </w:rPr>
        <w:t>AAC.11 Record 9 — Multi-Disciplinary Health Education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Patient education record naming the disciplines involved. In plain terms: this is the paper trail for 'Multi-Disciplinary Health Education Record' — proof of what actually happened, not just what was supposed to happen. Every time this happens for real, whoever is responsible adds one new row to the table below, filling in: Patient ID, Topic, Disciplines Involved,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screening, advice or education adds a new row every time it's actually done for a real patient — in this case, that means patient education record naming the disciplines involved. The worked example below shows a real entry: on 13-Jan-2026, patient id was “IP-2026-0142”, topic was “Post-MI lifestyle changes”, disciplines involved was “Dietician, Physiotherapist, Cardiologist”.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Preventive care that's offered informally, with no record, can't be shown to have reached the patient it was meant for — this record is the proof the screening, immunisation advice or education actually happened, for a real person, not just that the programme exists.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Topic: </w:t>
      </w:r>
      <w:r>
        <w:t>Enter the actual topic for this specific entry — real information from what actually happened, not a placeholder. The worked example row below shows 'Post-MI lifestyle changes' in this column, so you can see the level of detail expected — write your own real entry in that same style, not a copy of the example.</w:t>
      </w:r>
    </w:p>
    <w:p>
      <w:pPr>
        <w:pStyle w:val="ListParagraph"/>
      </w:pPr>
      <w:r>
        <w:rPr>
          <w:b/>
        </w:rPr>
        <w:t xml:space="preserve">Disciplines Involved: </w:t>
      </w:r>
      <w:r>
        <w:t>Enter the actual disciplines involved for this specific entry — real information from what actually happened, not a placeholder. The worked example row below shows 'Dietician, Physiotherapist, Cardiologist'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'13-Jan-2026'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Topic</w:t>
            </w:r>
          </w:p>
        </w:tc>
        <w:tc>
          <w:tcPr>
            <w:tcW w:type="dxa" w:w="2420"/>
            <w:shd w:val="clear" w:fill="D9E2F3"/>
          </w:tcPr>
          <w:p>
            <w:r/>
            <w:r>
              <w:rPr>
                <w:b/>
                <w:sz w:val="20"/>
              </w:rPr>
              <w:t>Disciplines Involved</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Post-MI lifestyle changes</w:t>
            </w:r>
          </w:p>
        </w:tc>
        <w:tc>
          <w:tcPr>
            <w:tcW w:type="dxa" w:w="2420"/>
            <w:shd w:val="clear" w:fill="FFF2CC"/>
          </w:tcPr>
          <w:p>
            <w:r/>
            <w:r>
              <w:rPr>
                <w:b w:val="0"/>
                <w:sz w:val="20"/>
              </w:rPr>
              <w:t>Dietician, Physiotherapist, Cardiologist</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