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Preventive Screening, Immunisation Advice and Referral</w:t>
      </w:r>
    </w:p>
    <w:p>
      <w:r>
        <w:t>«Hospital Name» — Supports AAC.11.b, AAC.11.c, AAC.11.d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screens patients for non-communicable diseases and mental health concerns, advises immunisation, and refers or intervenes on a positive finding.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screens patients for non-communicable diseases and mental health concerns, advises immunisation, and refers or intervenes on a positive finding.</w:t>
      </w:r>
    </w:p>
    <w:p>
      <w:pPr>
        <w:pStyle w:val="Heading1"/>
      </w:pPr>
      <w:r>
        <w:t>2. Scope</w:t>
      </w:r>
    </w:p>
    <w:p>
      <w:r>
        <w:t>Applies to treating doctors, nurses, and clinical staff delivering preventive and promotive health services within the hospital's defined scope.</w:t>
      </w:r>
    </w:p>
    <w:p>
      <w:pPr>
        <w:pStyle w:val="Heading1"/>
      </w:pPr>
      <w:r>
        <w:t>3. Responsibility</w:t>
      </w:r>
    </w:p>
    <w:p>
      <w:r>
        <w:t xml:space="preserve">Treating Doctor / Nurse: </w:t>
      </w:r>
      <w:r>
        <w:t>applies screening criteria, advises the patient, and documents the outcome.</w:t>
      </w:r>
    </w:p>
    <w:p>
      <w:r>
        <w:t xml:space="preserve">Referring Clinician: </w:t>
      </w:r>
      <w:r>
        <w:t>refers a positive screen for appropriate intervention.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Non-communicable disease screening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Apply the hospital's defined, age-appropriate NCD screening criteria for the patient's age and risk profile.</w:t>
      </w:r>
    </w:p>
    <w:p>
      <w:r>
        <w:t>2. Document whether screening was advised, and whether the patient accepted or declined it.</w:t>
      </w:r>
    </w:p>
    <w:p>
      <w:pPr>
        <w:pStyle w:val="Heading2"/>
      </w:pPr>
      <w:r>
        <w:t>4.2 Mental health screening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Use a validated screening tool (e.g. PHQ-9) where applicable and available. The PHQ-9 is a validated 9-item depression screening tool — see Section 8, Reference 1.</w:t>
      </w:r>
    </w:p>
    <w:p>
      <w:r>
        <w:t>2. On a positive screen, document appropriate advice, referral, or intervention — never leave a positive screen without a documented next step.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Kroenke, K., Spitzer, R. L., &amp; Williams, J. B. W. (2001). The PHQ-9: Validity of a brief depression severity measure. Journal of General Internal Medicine, 16(9), 606–613.</w:t>
        </w:r>
      </w:hyperlink>
    </w:p>
    <w:p>
      <w:pPr>
        <w:pStyle w:val="Heading2"/>
      </w:pPr>
      <w:r>
        <w:t>4.3 Immunisation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Follow the Universal Immunisation Programme schedule for every neonate and paediatric patient, including catch-up doses for missed vaccines — see Section 8, Reference 2.</w:t>
      </w:r>
    </w:p>
    <w:p>
      <w:r>
        <w:t>2. Advise evidence-based adult immunisation where applicable, and document whether it was administered.</w:t>
      </w:r>
    </w:p>
    <w:p>
      <w:r>
        <w:t>3. Log every immunisation given in the immunisation register.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Ministry of Health and Family Welfare, Government of India. (n.d.). Universal Immunization Programme (UIP).</w:t>
        </w:r>
      </w:hyperlink>
    </w:p>
    <w:p>
      <w:pPr>
        <w:pStyle w:val="Heading1"/>
      </w:pPr>
      <w:r>
        <w:t>5. Records</w:t>
      </w:r>
    </w:p>
    <w:p>
      <w:r>
        <w:t>Supported by Records 2–8 of the AAC.11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Preventive and Promotive Health Services (HCO/AAC/POL/11) — AAC.11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2">
        <w:r>
          <w:rPr>
            <w:color w:val="0563C1"/>
            <w:u w:val="single"/>
          </w:rPr>
          <w:t>Kroenke, Spitzer &amp; Williams (2001) — The PHQ-9: Validity of a Brief Depression Severity Measure</w:t>
        </w:r>
      </w:hyperlink>
    </w:p>
    <w:p>
      <w:pPr>
        <w:pStyle w:val="ListParagraph"/>
      </w:pPr>
      <w:hyperlink r:id="rId13">
        <w:r>
          <w:rPr>
            <w:color w:val="0563C1"/>
            <w:u w:val="single"/>
          </w:rPr>
          <w:t>Ministry of Health and Family Welfare, Government of India — Universal Immunisation Programme</w:t>
        </w:r>
      </w:hyperlink>
    </w:p>
    <w:p>
      <w:pPr>
        <w:pStyle w:val="Heading1"/>
      </w:pPr>
      <w:r>
        <w:t>8. Review</w:t>
      </w:r>
    </w:p>
    <w:p>
      <w:r>
        <w:t>Reviewed annually.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mc.ncbi.nlm.nih.gov/articles/PMC1495268" TargetMode="External"/><Relationship Id="rId10" Type="http://schemas.openxmlformats.org/officeDocument/2006/relationships/hyperlink" Target="https://main.mohfw.gov.in/Major-Programmes/universal-immunization-programme-uip" TargetMode="External"/><Relationship Id="rId11" Type="http://schemas.openxmlformats.org/officeDocument/2006/relationships/hyperlink" Target="https://nabh.co/programmes/hospitals-accreditation-programme-hco/" TargetMode="External"/><Relationship Id="rId12" Type="http://schemas.openxmlformats.org/officeDocument/2006/relationships/hyperlink" Target="https://doi.org/10.1046/j.1525-1497.2001.016009606.x" TargetMode="External"/><Relationship Id="rId13" Type="http://schemas.openxmlformats.org/officeDocument/2006/relationships/hyperlink" Target="https://www.nhp.gov.in/universal-immunisation-programme_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