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AAC.12.b — Departmental coordination (Commitment*)</w:t>
      </w:r>
    </w:p>
    <w:p>
      <w:r>
        <w:rPr>
          <w:b/>
          <w:sz w:val="30"/>
        </w:rPr>
        <w:t>AAC.12 Record 3 — Discharge Coordination Procedure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discharge procedure covering department coordination, including accounts. Every time this happens for real, whoever is responsible adds one new row to the table below, filling in: Department, Role in Discharge, Coordination Point.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documented discharge procedure covering department coordination, including accounts. The worked example below shows a real entry: department was “Accounts”, role in discharge was “Final bill preparation”, coordination point was “Notified 24 hrs before planned discharge”.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Department: </w:t>
      </w:r>
      <w:r>
        <w:t>Which department or ward this relates to. The worked example row below shows 'Accounts'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Role in Discharge: </w:t>
      </w:r>
      <w:r>
        <w:t>Enter the actual role in discharge for this specific entry — real information from what actually happened, not a placeholder. The worked example row below shows 'Final bill preparation'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Coordination Point: </w:t>
      </w:r>
      <w:r>
        <w:t>Enter the actual coordination point for this specific entry — real information from what actually happened, not a placeholder. The worked example row below shows 'Notified 24 hrs before planned discharge'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Role in Discharge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Coordination Point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Accounts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Final bill preparation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Notified 24 hrs before planned discharge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