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AAC.12.f — Domiciliary visits (Commitment)</w:t>
      </w:r>
    </w:p>
    <w:p>
      <w:r>
        <w:rPr>
          <w:b/>
          <w:sz w:val="30"/>
        </w:rPr>
        <w:t>AAC.12 Record 15 — Domiciliary Visit Schedule &amp; Notes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Domiciliary visit schedule and visit notes for eligible patients. Every time this happens for real, whoever is responsible adds one new row to the table below, filling in: Patient ID, Visit Date, Visited By, Notes.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domiciliary visit schedule and visit notes for eligible patients. The worked example below shows a real entry: on 20-Jan-2026, patient id was “IP-2026-0190”, visited by was “Community Health Worker R. Devi”, notes was “Wound healing well, dressing changed”.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specific evidence an assessor checks against this requirement — without it, there's no way to show the practice described in the policy is actually happening for real patients.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'IP-2026-0190'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Visit Date: </w:t>
      </w:r>
      <w:r>
        <w:t>Enter the actual visit date for this specific entry — real information from what actually happened, not a placeholder. The worked example row below shows '20-Jan-2026'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Visited By: </w:t>
      </w:r>
      <w:r>
        <w:t>Enter the actual visited by for this specific entry — real information from what actually happened, not a placeholder. The worked example row below shows 'Community Health Worker R. Devi'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Notes: </w:t>
      </w:r>
      <w:r>
        <w:t>Enter the actual notes for this specific entry — real information from what actually happened, not a placeholder. The worked example row below shows 'Wound healing well, dressing changed'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Visit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Visited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IP-2026-0190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Community Health Worker R. Devi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Wound healing well, dressing changed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