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AAC.13.b — Standardised content (Commitment)</w:t>
      </w:r>
    </w:p>
    <w:p>
      <w:r>
        <w:rPr>
          <w:b/>
          <w:sz w:val="30"/>
        </w:rPr>
        <w:t>AAC.13 Record 3 — Standardised Discharge Summary Template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current standardised discharge-summary template is in use. Every time this happens for real, whoever is responsible adds one new row to the table below, filling in: Template Version, Fields Included,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the current standardised discharge-summary template is in use. The worked example below shows a real entry: template version was “v2.1”, fields included was “Name, UID, admission/discharge date, diagnosis, treatment, follow-up”,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Template Version: </w:t>
      </w:r>
      <w:r>
        <w:t>Enter the actual template version for this specific entry — real information from what actually happened, not a placeholder. The worked example row below shows 'v2.1'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Fields Included: </w:t>
      </w:r>
      <w:r>
        <w:t>Enter the actual fields included for this specific entry — real information from what actually happened, not a placeholder. The worked example row below shows 'Name, UID, admission/discharge date, diagnosis, treatment, follow-up'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Template 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Fields Included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v2.1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Name, UID, admission/discharge date, diagnosis, treatment, follow-up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