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AAC.13.e — Cause of death (Commitment)</w:t>
      </w:r>
    </w:p>
    <w:p>
      <w:r>
        <w:rPr>
          <w:b/>
          <w:sz w:val="30"/>
        </w:rPr>
        <w:t>AAC.13 Record 10 — Post-Mortem Documentation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Post-mortem documentation when cause of death is unclear or the case is medico-legal. Every time this happens for real, whoever is responsible adds one new row to the table below, filling in: Patient ID, Reason Post-Mortem Required, Post-Mortem Done (Y/N), Report Reference.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post-mortem documentation when cause of death is unclear or the case is medico-legal. The worked example below shows a real entry: patient id was “MLC-2026-0021”, reason post-mortem required was “Unclear cause, medico-legal case”, post-mortem done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inaccurate or missing cause-of-death record has real legal and statistical consequences beyond this one patient — this record is what keeps that information correct and complete.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'MLC-2026-0021'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Reason Post-Mortem Required: </w:t>
      </w:r>
      <w:r>
        <w:t>Enter the actual reason post-mortem required for this specific entry — real information from what actually happened, not a placeholder. The worked example row below shows 'Unclear cause, medico-legal case'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Post-Mortem Done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Report Reference: </w:t>
      </w:r>
      <w:r>
        <w:t>Enter the actual report reference for this specific entry — real information from what actually happened, not a placeholder. The worked example row below shows 'PM-2026-0034'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Reason Post-Mortem Required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Post-Mortem Done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Report Reference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MLC-2026-0021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Unclear cause, medico-legal case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PM-2026-0034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