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AAC.2.a — Written guidance for registering and admitting patients</w:t>
      </w:r>
    </w:p>
    <w:p>
      <w:r>
        <w:rPr>
          <w:b/>
          <w:sz w:val="30"/>
        </w:rPr>
        <w:t>AAC.2 Record 3 — Admission Authorisation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every admission in the sample was authorised by a doctor. Every time this happens for real, whoever is responsible adds one new row to the table below, filling in: Patient ID, Admission Date, Authorising Doctor, Order/Note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every admission in the sample was authorised by a doctor. The worked example below shows a real entry: on 10-Jan-2026, patient id was “IP-2026-0142”, authorising doctor was “Dr. A. Rao”, order/note reference was “Admission Note p.1”.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Admission Date: </w:t>
      </w:r>
      <w:r>
        <w:t>Enter the actual admission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Authorising Doctor: </w:t>
      </w:r>
      <w:r>
        <w:t>Enter the actual authorising doctor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Order/Note Reference: </w:t>
      </w:r>
      <w:r>
        <w:t>Enter the actual order/note reference for this specific entry — real information from what actually happened, not a placeholder. The worked example row below shows 'Admission Note p.1'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Admission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Authorising Doctor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Order/Note Reference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Admission Note p.1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