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AAC.2.b — Unique identification number generated at end of registration</w:t>
      </w:r>
    </w:p>
    <w:p>
      <w:r>
        <w:rPr>
          <w:b/>
          <w:sz w:val="30"/>
        </w:rPr>
        <w:t>AAC.2 Record 5 — Cross-Department Unique Number Trace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Shows the same unique number carried across departments for one patient. Every time this happens for real, whoever is responsible adds one new row to the table below, filling in: Unique ID, OPD Record, IP Record, Lab/Imaging Record.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same unique number carried across departments for one patient. The worked example below shows a real entry: unique id was “UID-2026-88421”, opd record was “OP-2026-0341”, ip record was “IP-2026-0142”.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record that can't be reliably traced back to one unique number is a patient-safety risk — the wrong record can get pulled for the wrong patient. This record is what proves that traceability actually works.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Unique ID: </w:t>
      </w:r>
      <w:r>
        <w:t>Enter the actual unique id for this specific entry — real information from what actually happened, not a placeholder. The worked example row below shows 'UID-2026-88421'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OPD Record: </w:t>
      </w:r>
      <w:r>
        <w:t>Enter the actual opd record for this specific entry — real information from what actually happened, not a placeholder. The worked example row below shows 'OP-2026-0341'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IP Record: </w:t>
      </w:r>
      <w:r>
        <w:t>Enter the actual ip record for this specific entry — real information from what actually happened, not a placeholder.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Lab/Imaging Record: </w:t>
      </w:r>
      <w:r>
        <w:t>Enter the actual lab/imaging record for this specific entry — real information from what actually happened, not a placeholder. The worked example row below shows 'LAB-2026-2290'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Unique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OPD Record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IP Record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Lab/Imaging Record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UID-2026-88421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OP-2026-0341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LAB-2026-2290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