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AAC.2.d — Written guidance for non-availability of beds</w:t>
      </w:r>
    </w:p>
    <w:p>
      <w:r>
        <w:rPr>
          <w:b/>
          <w:sz w:val="30"/>
        </w:rPr>
        <w:t>AAC.2 Record 10 — Bed Non-Availability Guidance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written guidance exists for temporary holding, time limits, and bed-category mismatch. Every time this happens for real, whoever is responsible adds one new row to the table below, filling in: Guidance Element, Document Reference, Last Reviewed.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on duty adds a new row here the moment it genuinely happens — in this case, that means written guidance exists for temporary holding, time limits, and bed-category mismatch. The worked example below shows a real entry: guidance element was “Temporary holding time limit”, document reference was “BED-SOP-01, v1.4”, last reviewed was “05-Jan-2026”.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a running log, not a one-time form — entries build up over time, so a gap in the log is as visible to an assessor as a wrong entry would be.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Guidance Element: </w:t>
      </w:r>
      <w:r>
        <w:t>Enter the actual guidance element for this specific entry — real information from what actually happened, not a placeholder. The worked example row below shows 'Temporary holding time limit'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Document Reference: </w:t>
      </w:r>
      <w:r>
        <w:t>Enter the actual document reference for this specific entry — real information from what actually happened, not a placeholder. The worked example row below shows 'BED-SOP-01, v1.4'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Last Reviewed: </w:t>
      </w:r>
      <w:r>
        <w:t>Enter the actual last reviewed for this specific entry — real information from what actually happened, not a placeholder. The worked example row below shows '05-Jan-2026'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Guidance Element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Document Reference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Last Reviewed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Temporary holding time limit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BED-SOP-01, v1.4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05-Jan-2026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