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Clinical Priority Identification in OPD and Diagnostic Queues</w:t>
      </w:r>
    </w:p>
    <w:p>
      <w:r>
        <w:t>«Hospital Name» — Supports AAC.2.e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«Hospital Name» identifies patients who need an earlier response in OPD and diagnostic queues, and ensures they are seen promptly. If you're new to this SOP, the short version is: follow the numbered steps below in order — they exist because skipping one of them is exactly how a real gap or a real patient-safety problem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identifies patients who need an earlier response in OPD and diagnostic queues, and ensures they are seen promptly.</w:t>
      </w:r>
    </w:p>
    <w:p>
      <w:pPr>
        <w:pStyle w:val="Heading1"/>
      </w:pPr>
      <w:r>
        <w:t>2. Scope</w:t>
      </w:r>
    </w:p>
    <w:p>
      <w:r>
        <w:t>Applies to all OPD reception, triage, and diagnostic-service staff who manage patient queues.</w:t>
      </w:r>
    </w:p>
    <w:p>
      <w:pPr>
        <w:pStyle w:val="Heading1"/>
      </w:pPr>
      <w:r>
        <w:t>3. Responsibility</w:t>
      </w:r>
    </w:p>
    <w:p>
      <w:r>
        <w:t xml:space="preserve">OPD Reception / Triage Staff: </w:t>
      </w:r>
      <w:r>
        <w:t>identify and mark patients needing earlier response.</w:t>
      </w:r>
    </w:p>
    <w:p>
      <w:r>
        <w:t xml:space="preserve">Nursing Superintendent: </w:t>
      </w:r>
      <w:r>
        <w:t>orients queue and diagnostic staff to the priority guidelines.</w:t>
      </w:r>
    </w:p>
    <w:p>
      <w:pPr>
        <w:pStyle w:val="Heading1"/>
      </w:pPr>
      <w:r>
        <w:t>4. Procedure</w:t>
      </w:r>
    </w:p>
    <w:p>
      <w:r>
        <w:rPr>
          <w:b/>
          <w:i/>
        </w:rPr>
        <w:t xml:space="preserve">Why this step matters: </w:t>
      </w:r>
      <w:r>
        <w:rPr>
          <w:i/>
        </w:rPr>
        <w:t>Skipping or rushing this step is exactly the kind of gap an assessor — or a real patient safety incident — would eventually surface.</w:t>
      </w:r>
    </w:p>
    <w:p>
      <w:r>
        <w:t>1. Apply the hospital's written clinical-priority criteria to identify a patient whose condition warrants an earlier response (e.g. chest pain, breathlessness, active bleeding).</w:t>
      </w:r>
    </w:p>
    <w:p>
      <w:r>
        <w:t>2. Apply the defined visual identification mechanism (e.g. a coloured sticker on the file or patient) as soon as priority is identified.</w:t>
      </w:r>
    </w:p>
    <w:p>
      <w:r>
        <w:t>3. Move the marked patient ahead in the queue per the priority criteria, and inform the receiving clinician or diagnostic technician of the marking.</w:t>
      </w:r>
    </w:p>
    <w:p>
      <w:r>
        <w:t>4. Record the marking time and the time the patient was seen, per the Priority Patient Sample Audit.</w:t>
      </w:r>
    </w:p>
    <w:p>
      <w:r>
        <w:t>5. Orient every new queue or diagnostic-flow staff member to this SOP at induction, and refresh annually.</w:t>
      </w:r>
    </w:p>
    <w:p>
      <w:pPr>
        <w:pStyle w:val="Heading1"/>
      </w:pPr>
      <w:r>
        <w:t>5. Records</w:t>
      </w:r>
    </w:p>
    <w:p>
      <w:r>
        <w:t>Supported by Records 14–17: the Clinical Priority Guidelines Log, Visual Identification Mechanism Description, Queue/Diagnostic Staff Orientation Record, and Priority Patient Sample Audit.</w:t>
      </w:r>
    </w:p>
    <w:p>
      <w:pPr>
        <w:pStyle w:val="Heading1"/>
      </w:pPr>
      <w:r>
        <w:t>6. Related Documents</w:t>
      </w:r>
    </w:p>
    <w:p>
      <w:pPr>
        <w:pStyle w:val="ListParagraph"/>
      </w:pPr>
      <w:r>
        <w:t>Policy on Registration and Admission (HCO/AAC/POL/02) — AAC.2 policy</w:t>
      </w:r>
    </w:p>
    <w:p>
      <w:pPr>
        <w:pStyle w:val="Heading1"/>
      </w:pPr>
      <w:r>
        <w:t>7. Where This SOP's Requirements Come From (Verified Sources)</w:t>
      </w:r>
    </w:p>
    <w:p>
      <w:pPr>
        <w:pStyle w:val="ListParagraph"/>
      </w:pPr>
      <w:hyperlink r:id="rId9">
        <w:r>
          <w:rPr>
            <w:color w:val="0563C1"/>
            <w:u w:val="single"/>
          </w:rPr>
          <w:t>NABH — Hospitals Accreditation Programme (HCO), 6th Edition standards</w:t>
        </w:r>
      </w:hyperlink>
    </w:p>
    <w:p>
      <w:pPr>
        <w:pStyle w:val="Heading1"/>
      </w:pPr>
      <w:r>
        <w:t>8. Review</w:t>
      </w:r>
    </w:p>
    <w:p>
      <w:r>
        <w:t>Reviewed annually, or sooner if the priority criteria or visual marker changes.</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hospitals-accreditation-programme-h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