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AAC.3.a — Transfer-in done appropriately</w:t>
      </w:r>
    </w:p>
    <w:p>
      <w:r>
        <w:rPr>
          <w:b/>
          <w:sz w:val="30"/>
        </w:rPr>
        <w:t>AAC.3 Record 2 — Ambulance/Escort Assignment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For unplanned or suspected-unstable transfer-ins, records the trained person sent with the ambulance. Every time this happens for real, whoever is responsible adds one new row to the table below, filling in: Date, Patient (if known), Person Sent, Training Level.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for unplanned or suspected-unstable transfer-ins, records the trained person sent with the ambulance. The worked example below shows a real entry: on 11-Jan-2026, patient (if known) was “Unknown Male, ~40 yrs”, person sent was “Nurse P. Thomas”, training level was “Advanced CPR”.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 (if known): </w:t>
      </w:r>
      <w:r>
        <w:t>The patient's UHID or name/identifier for this specific entry. The worked example row below shows 'Unknown Male, ~40 yrs'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Person Sent: </w:t>
      </w:r>
      <w:r>
        <w:t>Enter the actual person sent for this specific entry — real information from what actually happened, not a placeholder. The worked example row below shows 'Nurse P. Thomas'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Training Level: </w:t>
      </w:r>
      <w:r>
        <w:t>Enter the actual training level for this specific entry — real information from what actually happened, not a placeholder. The worked example row below shows 'Advanced CPR'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(if known)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Person Sent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Training Level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Unknown Male, ~40 yrs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P. Thomas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Advanced CPR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