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AAC.3.b — Transfer-out / referral done appropriately</w:t>
      </w:r>
    </w:p>
    <w:p>
      <w:r>
        <w:rPr>
          <w:b/>
          <w:sz w:val="30"/>
        </w:rPr>
        <w:t>AAC.3 Record 5 — Transfer-Out / Referral Order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the transfer-out or referral order with patient/family consultation noted. Every time this happens for real, whoever is responsible adds one new row to the table below, filling in: Patient ID, Destination Facility, Reason, Patient/Family Consulted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the transfer-out or referral order with patient/family consultation noted. The worked example below shows a real entry: patient id was “IP-2026-0142”, destination facility was “XYZ Heart Institute”, reason was “Cardiac surgery required”.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Destination Facility: </w:t>
      </w:r>
      <w:r>
        <w:t>Enter the actual destination facility for this specific entry — real information from what actually happened, not a placeholder. The worked example row below shows 'XYZ Heart Institute'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Reason: </w:t>
      </w:r>
      <w:r>
        <w:t>Enter the actual reason for this specific entry — real information from what actually happened, not a placeholder. The worked example row below shows 'Cardiac surgery required'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Patient/Family Consulted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Destination Facility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Reason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Patient/Family Consulted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XYZ Heart Institute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Cardiac surgery required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