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AAC.4.f — Care plan countersigned by clinician in-charge within 24 hours</w:t>
      </w:r>
    </w:p>
    <w:p>
      <w:r>
        <w:rPr>
          <w:b/>
          <w:sz w:val="30"/>
        </w:rPr>
        <w:t>AAC.4 Record 19 — Covering Consultant Countersignature Log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Covering-consultant countersignatures when the treating doctor is unavailable, with Medical Superintendent notified. Every time this happens for real, whoever is responsible adds one new row to the table below, filling in: Patient ID, Covering Consultant, MS Notified (Y/N), Date.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covering-consultant countersignatures when the treating doctor is unavailable, with Medical Superintendent notified. The worked example below shows a real entry: on 12-Jan-2026, patient id was “IP-2026-0155”, covering consultant was “Dr. C. Menon”, ms notified (y/n) was “Yes”.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'IP-2026-0155' in this column, so you can see the level of detail expected — write your own real entry in that same style, not a copy of the example.</w:t>
      </w:r>
    </w:p>
    <w:p>
      <w:pPr>
        <w:pStyle w:val="ListParagraph"/>
      </w:pPr>
      <w:r>
        <w:rPr>
          <w:b/>
        </w:rPr>
        <w:t xml:space="preserve">Covering Consultant: </w:t>
      </w:r>
      <w:r>
        <w:t>Enter the actual covering consultant for this specific entry — real information from what actually happened, not a placeholder. The worked example row below shows 'Dr. C. Menon' in this column, so you can see the level of detail expected — write your own real entry in that same style, not a copy of the example.</w:t>
      </w:r>
    </w:p>
    <w:p>
      <w:pPr>
        <w:pStyle w:val="ListParagraph"/>
      </w:pPr>
      <w:r>
        <w:rPr>
          <w:b/>
        </w:rPr>
        <w:t xml:space="preserve">MS Notified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Date: </w:t>
      </w:r>
      <w:r>
        <w:t>The actual date this happened — not the date you're filling the form. The worked example row below shows '12-Jan-2026'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Covering Consultant</w:t>
            </w:r>
          </w:p>
        </w:tc>
        <w:tc>
          <w:tcPr>
            <w:tcW w:type="dxa" w:w="2420"/>
            <w:shd w:val="clear" w:fill="D9E2F3"/>
          </w:tcPr>
          <w:p>
            <w:r/>
            <w:r>
              <w:rPr>
                <w:b/>
                <w:sz w:val="20"/>
              </w:rPr>
              <w:t>MS Notified (Y/N)</w:t>
            </w:r>
          </w:p>
        </w:tc>
        <w:tc>
          <w:tcPr>
            <w:tcW w:type="dxa" w:w="2420"/>
            <w:shd w:val="clear" w:fill="D9E2F3"/>
          </w:tcPr>
          <w:p>
            <w:r/>
            <w:r>
              <w:rPr>
                <w:b/>
                <w:sz w:val="20"/>
              </w:rPr>
              <w:t>Date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IP-2026-0155</w:t>
            </w:r>
          </w:p>
        </w:tc>
        <w:tc>
          <w:tcPr>
            <w:tcW w:type="dxa" w:w="2420"/>
            <w:shd w:val="clear" w:fill="FFF2CC"/>
          </w:tcPr>
          <w:p>
            <w:r/>
            <w:r>
              <w:rPr>
                <w:b w:val="0"/>
                <w:sz w:val="20"/>
              </w:rPr>
              <w:t>Dr. C. Menon</w:t>
            </w:r>
          </w:p>
        </w:tc>
        <w:tc>
          <w:tcPr>
            <w:tcW w:type="dxa" w:w="2420"/>
            <w:shd w:val="clear" w:fill="FFF2CC"/>
          </w:tcPr>
          <w:p>
            <w:r/>
            <w:r>
              <w:rPr>
                <w:b w:val="0"/>
                <w:sz w:val="20"/>
              </w:rPr>
              <w:t>Yes</w:t>
            </w:r>
          </w:p>
        </w:tc>
        <w:tc>
          <w:tcPr>
            <w:tcW w:type="dxa" w:w="2420"/>
            <w:shd w:val="clear" w:fill="FFF2CC"/>
          </w:tcPr>
          <w:p>
            <w:r/>
            <w:r>
              <w:rPr>
                <w:b w:val="0"/>
                <w:sz w:val="20"/>
              </w:rPr>
              <w:t>12-Jan-2026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