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AAC.4.f — Care plan countersigned by clinician in-charge within 24 hours</w:t>
      </w:r>
    </w:p>
    <w:p>
      <w:r>
        <w:rPr>
          <w:b/>
          <w:sz w:val="30"/>
        </w:rPr>
        <w:t>AAC.4 Record 20 — Late/Missing Countersignature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Audit log of late or missing countersignatures with corrective action. Every time this happens for real, whoever is responsible adds one new row to the table below, filling in: Patient ID, Due By, Actual Countersignature Time, Corrective Action.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audit log of late or missing countersignatures with corrective action. The worked example below shows a real entry: on 10:15, 12-Jan (late), patient id was “IP-2026-0160”, due by was “08:00, 12-Jan” — so corrective action was “Reminder system alert added”.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'IP-2026-0160'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Due By: </w:t>
      </w:r>
      <w:r>
        <w:t>Enter the actual due by for this specific entry — real information from what actually happened, not a placeholder. The worked example row below shows '08:00, 12-Jan'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Actual Countersignature Time: </w:t>
      </w:r>
      <w:r>
        <w:t>The actual signature of the person named — this record isn't complete without it. The worked example row below shows '10:15, 12-Jan (late)'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Corrective Action: </w:t>
      </w:r>
      <w:r>
        <w:t>What was actually done to fix this, in concrete terms — not a vague intention. The worked example row below shows 'Reminder system alert added'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Due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Actual Countersignature 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IP-2026-0160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08:00, 12-Jan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10:15, 12-Jan (late)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Reminder system alert added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