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AAC.4.g — Special needs regarding care following discharge identified</w:t>
      </w:r>
    </w:p>
    <w:p>
      <w:r>
        <w:rPr>
          <w:b/>
          <w:sz w:val="30"/>
        </w:rPr>
        <w:t>AAC.4 Record 21 — Special Discharge Needs Field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Care-plan fields or notes identifying special post-discharge needs. Every time this happens for real, whoever is responsible adds one new row to the table below, filling in: Patient ID, Special Need Identified, Category, Identified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care-plan fields or notes identifying special post-discharge needs. The worked example below shows a real entry: patient id was “IP-2026-0142”, special need identified was “Restricted mobility, needs home physiotherapy”, category was “Rehabilitation”.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Special Need Identified: </w:t>
      </w:r>
      <w:r>
        <w:t>Enter the actual special need identified for this specific entry — real information from what actually happened, not a placeholder. The worked example row below shows 'Restricted mobility, needs home physiotherapy'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Category: </w:t>
      </w:r>
      <w:r>
        <w:t>Enter the actual category for this specific entry — real information from what actually happened, not a placeholder. The worked example row below shows 'Rehabilitation'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Identified By: </w:t>
      </w:r>
      <w:r>
        <w:t>Enter the actual identified by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Special Need Identified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Identified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Restricted mobility, needs home physiotherapy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Rehabilitation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