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AAC.5.a — Re-assessment at appropriate intervals</w:t>
      </w:r>
    </w:p>
    <w:p>
      <w:r>
        <w:rPr>
          <w:b/>
          <w:sz w:val="30"/>
        </w:rPr>
        <w:t>AAC.5 Record 2 — ICU Observation Chart Frequency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ICU observation charts showing more frequent re-assessment than the ward. Every time this happens for real, whoever is responsible adds one new row to the table below, filling in: Patient ID, Ward/ICU, Re-assessment Frequency, Compliant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reviewer fills in a new row every time this specific check is actually carried out against real practice — in this case, that means ICU observation charts showing more frequent re-assessment than the ward. The worked example below shows a real entry: patient id was “ICU-2026-0033”, ward/icu was “ICU”, re-assessment frequency was “Every 2 hours”.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written guideline that's never checked against real practice is just a document — this record is what proves the rule is actually being followed on the ground, not just on paper.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'ICU-2026-0033'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Ward/ICU: </w:t>
      </w:r>
      <w:r>
        <w:t>Enter the actual ward/icu for this specific entry — real information from what actually happened, not a placeholder. The worked example row below shows 'ICU'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Re-assessment Frequency: </w:t>
      </w:r>
      <w:r>
        <w:t>Enter the actual re-assessment frequency for this specific entry — real information from what actually happened, not a placeholder. The worked example row below shows 'Every 2 hours'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Compliant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Ward/ICU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Re-assessment Frequency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Compliant (Y/N)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ICU-2026-0033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ICU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Every 2 hours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