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AAC.5.b — Out-patients informed of next follow-up</w:t>
      </w:r>
    </w:p>
    <w:p>
      <w:r>
        <w:rPr>
          <w:b/>
          <w:sz w:val="30"/>
        </w:rPr>
        <w:t>AAC.5 Record 4 — OP Follow-Up Documentation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OP consultation sheets with the next follow-up date or interval documented. Every time this happens for real, whoever is responsible adds one new row to the table below, filling in: Patient ID, Consultation Date, Follow-Up Date/Interval, Documented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OP consultation sheets with the next follow-up date or interval documented. The worked example below shows a real entry: on 10-Jan-2026, patient id was “OP-2026-0341”, follow-up date/interval was “2 weeks”, documented by was “Dr. A.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'OP-2026-0341'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Consultation Date: </w:t>
      </w:r>
      <w:r>
        <w:t>Enter the actual consultation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Follow-Up Date/Interval: </w:t>
      </w:r>
      <w:r>
        <w:t>Enter the actual follow-up date/interval for this specific entry — real information from what actually happened, not a placeholder. The worked example row below shows '2 weeks'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Documented By: </w:t>
      </w:r>
      <w:r>
        <w:t>Who wrote this entry down. The worked example row below shows 'Dr. A.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Consultation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Follow-Up Date/Interval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Documented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OP-2026-0341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 weeks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