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AAC.5.d — Re-assessments documented by direct clinical care staff</w:t>
      </w:r>
    </w:p>
    <w:p>
      <w:r>
        <w:rPr>
          <w:b/>
          <w:sz w:val="30"/>
        </w:rPr>
        <w:t>AAC.5 Record 9 — Nursing Vital-Sign Chart Contribution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nursing vital-sign charts contribute to the re-assessment documentation. Every time this happens for real, whoever is responsible adds one new row to the table below, filling in: Patient ID, Date, Vitals Charted By Nursing (Y/N), Linked to Doctor's Re-assessment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nursing vital-sign charts contribute to the re-assessment documentation. The worked example below shows a real entry: on 12-Jan-2026, patient id was “IP-2026-0142”, vitals charted by nursing (y/n) was “Yes”, linked to doctor's re-assessment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Vitals Charted By Nursing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Linked to Doctor's Re-assessment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Vitals Charted By Nursing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Linked to Doctor's Re-assessment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