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AAC.6.a — Scope commensurate with services</w:t>
      </w:r>
    </w:p>
    <w:p>
      <w:r>
        <w:rPr>
          <w:b/>
          <w:sz w:val="30"/>
        </w:rPr>
        <w:t>AAC.6 Record 2 — Annual Menu-vs-Services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test menu is reviewed against clinical services offered. Every time this happens for real, whoever is responsible adds one new row to the table below, filling in: Review Date, Reviewed By, Gaps Found,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the test menu is reviewed against clinical services offered. The worked example below shows a real entry: on 10-Jan-2026, reviewed by was “Laboratory In-Charge”, gaps found was “None”.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capacity or resourcing decision that's never actually revisited drifts out of date as patient volume and services change — this record is the proof the review genuinely happened, on a real date, against real numbers.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Enter the actual reviewed by for this specific entry — real information from what actually happened, not a placeholder. The worked example row below shows 'Laboratory In-Charge'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Gaps Found: </w:t>
      </w:r>
      <w:r>
        <w:t>Enter the actual gaps found for this specific entry — real information from what actually happened, not a placeholder. The worked example row below shows 'None'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Gaps Found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Laboratory In-Charge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