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AAC.6.b — Infrastructure and layout adequate</w:t>
      </w:r>
    </w:p>
    <w:p>
      <w:r>
        <w:rPr>
          <w:b/>
          <w:sz w:val="30"/>
        </w:rPr>
        <w:t>AAC.6 Record 5 — Layout / Workflow Separation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Describes the layout showing separation that prevents cross-contamination. Every time this happens for real, whoever is responsible adds one new row to the table below, filling in: Area, Clean/Dirty Zone, Contamination Control Measure.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describes the layout showing separation that prevents cross-contamination. The worked example below shows a real entry: area was “Specimen receipt”, clean/dirty zone was “Clean”, contamination control measure was “Separate entry from processing area”.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Area: </w:t>
      </w:r>
      <w:r>
        <w:t>Enter the actual area for this specific entry — real information from what actually happened, not a placeholder. The worked example row below shows 'Specimen receipt'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Clean/Dirty Zone: </w:t>
      </w:r>
      <w:r>
        <w:t>Enter the actual clean/dirty zone for this specific entry — real information from what actually happened, not a placeholder. The worked example row below shows 'Clean'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Contamination Control Measure: </w:t>
      </w:r>
      <w:r>
        <w:t>Enter the actual contamination control measure for this specific entry — real information from what actually happened, not a placeholder. The worked example row below shows 'Separate entry from processing area'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Clean/Dirty Zone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Contamination Control Measure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Specimen receipt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Clean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Separate entry from processing area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