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AAC.6.d — Qualified performance and supervision</w:t>
      </w:r>
    </w:p>
    <w:p>
      <w:r>
        <w:rPr>
          <w:b/>
          <w:sz w:val="30"/>
        </w:rPr>
        <w:t>AAC.6 Record 11 — Discipline Supervision Arrangement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Supervision arrangement by Pathologist, Microbiologist, and Biochemist as applicable. Every time this happens for real, whoever is responsible adds one new row to the table below, filling in: Discipline, Supervising Specialist, Qualification.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supervision arrangement by Pathologist, Microbiologist, and Biochemist as applicable. The worked example below shows a real entry: discipline was “Microbiology”, supervising specialist was “Dr. R. Menon”, qualification was “MD (Microbiology)”.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Discipline: </w:t>
      </w:r>
      <w:r>
        <w:t>Enter the actual discipline for this specific entry — real information from what actually happened, not a placeholder. The worked example row below shows 'Microbiology'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Supervising Specialist: </w:t>
      </w:r>
      <w:r>
        <w:t>Enter the actual supervising specialist for this specific entry — real information from what actually happened, not a placeholder. The worked example row below shows 'Dr. R. Menon'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Qualification: </w:t>
      </w:r>
      <w:r>
        <w:t>Enter the actual qualification for this specific entry — real information from what actually happened, not a placeholder. The worked example row below shows 'MD (Microbiology)'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Discipline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Supervising Specialist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Qualification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Microbiology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Dr. R. Menon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MD (Microbiology)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