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AAC.6.g — Critical results intimated immediately</w:t>
      </w:r>
    </w:p>
    <w:p>
      <w:r>
        <w:rPr>
          <w:b/>
          <w:sz w:val="30"/>
        </w:rPr>
        <w:t>AAC.6 Record 21 — Authorised Critical-Result Reporters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List of personnel authorised to report critical results. Every time this happens for real, whoever is responsible adds one new row to the table below, filling in: Name, Designation, Authorised Since.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this updates it the moment the real thing it lists actually changes — in this case, that means personnel authorised to report critical results. The worked example below shows a real entry: name was “S. Krishnan”, designation was “Senior Lab Technologist”, authorised since was “01-Jan-2025”.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list that exists informally in someone's head isn't something an assessor — or a new staff member — can check against. Writing it down and dating it makes it verifiable.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The actual name — a real person or item, not a placeholder. The worked example row below shows 'S. Krishnan'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Designation: </w:t>
      </w:r>
      <w:r>
        <w:t>Enter the actual designation for this specific entry — real information from what actually happened, not a placeholder. The worked example row below shows 'Senior Lab Technologist'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Authorised Since: </w:t>
      </w:r>
      <w:r>
        <w:t>Enter the actual authorised since for this specific entry — real information from what actually happened, not a placeholder. The worked example row below shows '01-Jan-2025'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Designation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Authorised Since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S. Krishnan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Senior Lab Technologist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01-Jan-2025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