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AAC.6.h — Standardised reporting</w:t>
      </w:r>
    </w:p>
    <w:p>
      <w:r>
        <w:rPr>
          <w:b/>
          <w:sz w:val="30"/>
        </w:rPr>
        <w:t>AAC.6 Record 22 — Standardised Report Template Checklist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Confirms the report template includes all minimum required fields. Every time this happens for real, whoever is responsible adds one new row to the table below, filling in: Required Field, Present (Y/N).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owns this updates it the moment the real thing it lists actually changes — in this case, that means the report template includes all minimum required fields. The worked example below shows a real entry: required field was “Unique identification number”, present (y/n) was “Yes”.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list that exists informally in someone's head isn't something an assessor — or a new staff member — can check against. Writing it down and dating it makes it verifiable.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Required Field: </w:t>
      </w:r>
      <w:r>
        <w:t>Enter the actual required field for this specific entry — real information from what actually happened, not a placeholder. The worked example row below shows 'Unique identification number'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Present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840"/>
        <w:gridCol w:w="4840"/>
      </w:tblGrid>
      <w:tr>
        <w:tc>
          <w:tcPr>
            <w:tcW w:type="dxa" w:w="4840"/>
            <w:shd w:val="clear" w:fill="D9E2F3"/>
          </w:tcPr>
          <w:p>
            <w:r/>
            <w:r>
              <w:rPr>
                <w:b/>
                <w:sz w:val="20"/>
              </w:rPr>
              <w:t>Required Field</w:t>
            </w:r>
          </w:p>
        </w:tc>
        <w:tc>
          <w:tcPr>
            <w:tcW w:type="dxa" w:w="4840"/>
            <w:shd w:val="clear" w:fill="D9E2F3"/>
          </w:tcPr>
          <w:p>
            <w:r/>
            <w:r>
              <w:rPr>
                <w:b/>
                <w:sz w:val="20"/>
              </w:rPr>
              <w:t>Present (Y/N)</w:t>
            </w:r>
          </w:p>
        </w:tc>
      </w:tr>
      <w:tr>
        <w:tc>
          <w:tcPr>
            <w:tcW w:type="dxa" w:w="9680"/>
            <w:gridSpan w:val="2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4840"/>
            <w:shd w:val="clear" w:fill="FFF2CC"/>
          </w:tcPr>
          <w:p>
            <w:r/>
            <w:r>
              <w:rPr>
                <w:b w:val="0"/>
                <w:sz w:val="20"/>
              </w:rPr>
              <w:t>Unique identification number</w:t>
            </w:r>
          </w:p>
        </w:tc>
        <w:tc>
          <w:tcPr>
            <w:tcW w:type="dxa" w:w="4840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</w:tr>
      <w:tr>
        <w:tc>
          <w:tcPr>
            <w:tcW w:type="dxa" w:w="484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484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84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484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84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484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84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484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84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484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84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484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84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484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84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484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