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AAC.6.i — Recall / amendment mechanism</w:t>
      </w:r>
    </w:p>
    <w:p>
      <w:r>
        <w:rPr>
          <w:b/>
          <w:sz w:val="30"/>
        </w:rPr>
        <w:t>AAC.6 Record 26 — Withdrawal Evidence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Evidence of withdrawal from clinical areas, medical records, LIS, and HIS. Every time this happens for real, whoever is responsible adds one new row to the table below, filling in: Report ID, Withdrawn from Clinical Area (Y/N), Withdrawn from LIS/HIS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evidence of withdrawal from clinical areas, medical records, LIS, and HIS. The worked example below shows a real entry: report id was “LAB-2026-2290”, withdrawn from clinical area (y/n) was “Yes”, withdrawn from lis/his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or service sent outside the hospital is still the hospital's responsibility for getting it right — this record is the proof the outsourced partner's quality, or the decision to stop using them, was actually checked.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'LAB-2026-2290'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from Clinical Area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from LIS/HIS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Withdrawn from Clinical Area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Withdrawn from LIS/HIS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LAB-2026-2290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